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Ответственный</w:t>
      </w:r>
      <w:proofErr w:type="gramEnd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 xml:space="preserve"> за точность и поддержание информации раздела в актуальном состоянии: </w:t>
      </w:r>
      <w:proofErr w:type="gramStart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u w:val="single"/>
          <w:lang w:eastAsia="ru-RU"/>
        </w:rPr>
        <w:t>Рига-Васильевское</w:t>
      </w:r>
      <w:proofErr w:type="gramEnd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u w:val="single"/>
          <w:lang w:eastAsia="ru-RU"/>
        </w:rPr>
        <w:t xml:space="preserve"> управление</w:t>
      </w:r>
      <w:bookmarkStart w:id="0" w:name="_GoBack"/>
      <w:r w:rsidRPr="007E79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10101" stroked="f"/>
        </w:pict>
      </w:r>
      <w:bookmarkEnd w:id="0"/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адрес: 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Тульская область, Новомосковский район, д. Рига-Васильевка, д. 62;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контактные телефоны: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8 (48762) 2-16-80, 8 (48762_ 2-16-90;</w:t>
      </w:r>
      <w:proofErr w:type="gramEnd"/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электронная почта: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5" w:history="1">
        <w:r w:rsidRPr="007E7905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riga-vas.nmosk@tularegion.org</w:t>
        </w:r>
      </w:hyperlink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 xml:space="preserve">аккаунт в </w:t>
      </w:r>
      <w:proofErr w:type="spellStart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твиттере</w:t>
      </w:r>
      <w:proofErr w:type="spellEnd"/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: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6" w:history="1">
        <w:r w:rsidRPr="007E7905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https://twitter.com/RigaVas_nmosk</w:t>
        </w:r>
      </w:hyperlink>
      <w:r w:rsidRPr="007E79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Режим работы: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                   понедельник - четверг 8:48-18:00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пятница 8:48-17:00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обед 13:00-14:00</w:t>
      </w:r>
    </w:p>
    <w:p w:rsidR="007E7905" w:rsidRPr="007E7905" w:rsidRDefault="007E7905" w:rsidP="007E790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начальник управления: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Волкова Людмила Анатольевна;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телефон: 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8 (48762) 2-16-90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электронная почта: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7" w:history="1">
        <w:r w:rsidRPr="007E7905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riga-vas@mail.ru</w:t>
        </w:r>
      </w:hyperlink>
    </w:p>
    <w:p w:rsidR="007E7905" w:rsidRPr="007E7905" w:rsidRDefault="007E7905" w:rsidP="007E790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Утвержден решением Собрания депутатов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муниципального образования город Новомосковск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7E7905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от 20.06. 2012 г. № 72-5 (в редакции от 26.02.2019 № 6-2)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0"/>
          <w:szCs w:val="3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30"/>
          <w:szCs w:val="30"/>
          <w:lang w:eastAsia="ru-RU"/>
        </w:rPr>
        <w:t xml:space="preserve">Положение о </w:t>
      </w:r>
      <w:proofErr w:type="gramStart"/>
      <w:r w:rsidRPr="007E7905">
        <w:rPr>
          <w:rFonts w:ascii="Arial" w:eastAsia="Times New Roman" w:hAnsi="Arial" w:cs="Arial"/>
          <w:color w:val="010101"/>
          <w:sz w:val="30"/>
          <w:szCs w:val="30"/>
          <w:lang w:eastAsia="ru-RU"/>
        </w:rPr>
        <w:t>Рига-Васильевском</w:t>
      </w:r>
      <w:proofErr w:type="gramEnd"/>
      <w:r w:rsidRPr="007E7905">
        <w:rPr>
          <w:rFonts w:ascii="Arial" w:eastAsia="Times New Roman" w:hAnsi="Arial" w:cs="Arial"/>
          <w:color w:val="010101"/>
          <w:sz w:val="30"/>
          <w:szCs w:val="30"/>
          <w:lang w:eastAsia="ru-RU"/>
        </w:rPr>
        <w:t xml:space="preserve"> управлении администрации муниципального образования город Новомосковск 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lang w:eastAsia="ru-RU"/>
        </w:rPr>
        <w:t>1. Общие положения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1.1.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Рига-Васильевское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управление администрации муниципального образования город Новомосковск (далее - Управление) является органом территориального управления администрации муниципального образования город Новомосковск, подчинено и подотчетно главе администрации муниципального образования город Новомосковск.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1.2. Полное наименование: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Рига-Васильевское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управление администрации муниципального образования город Новомосковск. Сокращенное наименование: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Рига-Васильевское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управление.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1.3. Управление в своей деятельности руководствуется Конституцией Российской Федерации, законодательством Российской Федерации и Тульской области, решениями Собрания депутатов муниципального образования город Новомосковск, постановлениями и распоряжениями администрации муниципального образования город Новомосковск, настоящим Положением.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1.4. Управление создается, реорганизуется и ликвидируется решением Собрания депутатов муниципального образования город Новомосковск по представлению главы администрации муниципального образования город Новомосковск.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1.5.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Управление наделяется правами юридического лица в соответствии с настоящим Положением, по организационно-правовой форме является муниципальным казенным 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учреждением в соответствии с настоящим Положением, имеет лицевой бюджетный счет, печать с воспроизведением герба муниципального образования город Новомосковск и печати №1, №2, №3 для справок, соответствующие штампы, бланки и другие реквизиты, может от своего имени быть истцом и ответчиком в суде.</w:t>
      </w:r>
      <w:proofErr w:type="gramEnd"/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1.6. Управление возглавляет начальник Управления, который назначается на должность и освобождается от должности главой администрации муниципального образования город Новомосковск.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1.7. Работники Управления замещают должности муниципальной службы и должности, не отнесенные к должностям муниципальной службы, на основе трудовых договоров.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1.8. Работники Управления принимаются на работу и увольняются с работы, а также к ним применяются меры поощрения или дисциплинарной ответственности на основании соответствующих распоряжений администрации муниципального образования город Новомосковск.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1.9. Финансовое и материально-техническое обеспечение деятельности Управления осуществляется за счет средств бюджета муниципального образования город Новомосковск.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1.10. Управление наделяется муниципальным имуществом на праве оперативного управления.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1.11. Управление осуществляет свою деятельность во взаимодействии с органами государственной власти Российской Федерации и Тульской области, органами местного самоуправления, а также с органами и структурными подразделениями администрации муниципального образования город Новомосковск в соответствии с федеральными законами, законами Тульской области, муниципальными правовыми актами.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1.12. Место нахождения Управления: Российская Федерация, Тульская область, Новомосковский район.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1.13. Почтовый адрес Управления: 301692, Российская Федерация, Тульская область, Новомосковский район, д. Рига-Васильевка, д.62. 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lang w:eastAsia="ru-RU"/>
        </w:rPr>
        <w:t>2. Основные цели деятельности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2.1. Основные цели деятельности Управления: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Исполнение функций по реализации вопросов местного значения и иных функций, определенных федеральными законами, законами Тульской области, Уставом муниципального образования и иными муниципальными правовыми актами на подведомственной территории: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Ключевка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Красное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Гремячево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Гремячево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Кресты,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.Г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рицово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Богдановка,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д.Васильевка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Знаменка, ст.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Грицово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Прохоровка, д. Прудки,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Урусово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Тихоновка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пос. Правда, д. Михайловка, д. Новая Деревня,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Акульшино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.Д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окторово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Пашково,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Грайворонки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Старая Уваровка, д. Малые Тетерки, д Большие Тетерки, д. Сторожевое, д.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Маклец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Рига-Васильевка, с. Ильинка-1, д.Ильинка-2,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д.Любовка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д. Орловка, г. Новомосковск улицы: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Маклец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Советская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Поселочная, Советский переулок, Зеленый проезд 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lang w:eastAsia="ru-RU"/>
        </w:rPr>
        <w:t>3. Функции Управления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 Во исполнение целей своей деятельности Управление осуществляет следующие функции: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1) участие в формировании и исполнении бюджета муниципального образования город Новомосковск;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2) участие в организации на подведомственной территории электро-, тепл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о-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3) участие в осуществлении дорожной деятельности в отношении автомобильных дорог местного значения  и обеспечении безопасности дорожного движения на них, включая участие в создании и обеспечении функционирования парковок (парковочных мест), участие в осуществлении муниципального контроля за сохранностью автомобильных дорог местного значения на подведомственной территории, организации дорожного движения, а так же участие в осуществлении иных полномочий в области использования автомобильных дорог и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осуществлении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дорожной деятельности в соответствии с законодательством Российской Федерации;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4) участие в обеспечении малоимущих граждан, проживающих на подведомственной территории и нуждающихся в улучшении жилищных условий, жилыми помещениями, в соответствии с жилищным законодательством, участие в организации строительства и содержания муниципального жилищного фонда, создании условий для жилищного строительства, а так же участие в осуществлении иных полномочий в соответствии с жилищным законодательством;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5) участие в создании условий для предоставления транспортных услуг и организации транспортного обслуживания населения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6) участие в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7) участие в предупреждении и ликвидации последствий чрезвычайных ситуаций в границах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8) участие в обеспечении первичных мер пожарной безопасности в границах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9) участие в организации мероприятий по охране окружающей среды в границах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10) участие в организации предоставления общедоступного и бесплатного дошкольного, начального общего, основного общего, среднего 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  программ в соответствии с федеральными государственными образовательными стандартами), участие в  организации предоставления дополнительного образования детей в муниципальных образовательных организациях (за исключением  дополнительного образования детей, финансовое обеспечение которого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осуществляется органами государственной власти Тульской области), участие в создании условий для осуществления присмотра и ухода за детьми, содержания детей в муниципальных образовательных организациях, а также участие в осуществлении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 на подведомственной территории;</w:t>
      </w:r>
      <w:proofErr w:type="gramEnd"/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11) участие в создании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Российской Федерации медицинской помощи;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12) участие в создании условий для обеспечения жителей подведомственной территории услугами связи, общественного питания, торговли и бытового обслуживания;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13) участие в организации библиотечного обслуживания населения, комплектовании и обеспечении сохранности библиотечных фондов библиотек, находящихся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14) участие в создании условий для организации досуга и обеспечения жителей подведомственной территории услугами организаций культуры;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15) участие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16) участие в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город Новомосковск, охране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17) участие в осуществлении муниципального земельного контроля в границах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18) участие в процедуре предоставления земельных участков, выделяемых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19) участие в обеспечении условий для развития на подведомственной территории физической культуры, школьного спорта и массового спорта, участие  в организации проведения на подведомственной территории официальных физкультурно-оздоровительных и спортивных мероприятий;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20) участие в создании условий для массового отдыха жителей подведомственной территории и в организации обустройства мест массового отдыха населения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21) участие в формировании муниципального архива;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22) участие в организации ритуальных услуг и содержании мест захоронения;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24) участие в организации благоустройства подведомственной территории в соответствии с Правилами благоустройства территории муниципального образования город Новомосковск (далее – правила), участие в осуществлении контроля за соблюдением указанных правил на подведомственной территории, а также участие в организации использования, охраны, защиты, воспроизводства городских лесов, лесов особо охраняемых природных территорий, расположенных в границах подведомственной территории;</w:t>
      </w:r>
      <w:proofErr w:type="gramEnd"/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25) участие в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подведомственной территории, изменении, аннулировании таких наименований;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26) участие в организации и осуществлении мероприятий по территориальной обороне и гражданской обороне, защите населения и подведомственной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27) участие в организации деятельности аварийно-спасательных служб и (или) аварийно-спасательных формирований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28) участие в осуществлении мероприятий по обеспечению безопасности людей на водных объектах, охране их жизни и здоровья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29) участие в создании условий для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волонтерству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)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30) участие в организации и осуществлении мероприятий по работе с детьми и молодежью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31) участие в оказании поддержки гражданам и их объединениям, участвующим в охране общественного порядка, создании условий для деятельности народных дружин;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32) участие в осуществлении мер по противодействию коррупции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33) участие в осуществлении мероприятий в сфере профилактики правонарушений на подведомственной территории, предусмотренных Федеральным законом «Об основах системы профилактики правонарушений в Российской Федерации», в том числе создание территориальной социальной комиссии;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34)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реализации прав национальных меньшинств, обеспечении социальной и культурной адаптации мигрантов, профилактике межнациональных (межэтнических) конфликтов;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35) информирование населения об ограничениях использования водных объектов, включая обеспечение свободного доступа граждан к водным объектам общего пользования и их береговым полосам на подведомственной территории;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36) ведение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похозяйственных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книг, оказание муниципальной услуги «Предоставление выписки из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похозяйственной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книги».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37) участие в организации схода граждан в сельских населенных пунктах, подведомственных Управлению, по вопросу выдвижения кандидатуры старосты сельских населенных пунктов, а так же по вопросу досрочного прекращения полномочий старосты сельского населенного пункта.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 Функции Управления, изложенные в п. 3.1., настоящего Положения, не являются исчерпывающими. Управление вправе исполнять иные функции, определенные федеральными законами, законами Тульской области, Уставом муниципального образования и иными муниципальными правовыми актами. 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lang w:eastAsia="ru-RU"/>
        </w:rPr>
        <w:t>4. Права Управления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 Для достижения поставленных целей и осуществления своих функций Управление имеет право: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4.1.1. представлять интересы администрации муниципального образования город Новомоско</w:t>
      </w:r>
      <w:proofErr w:type="gram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вск в пр</w:t>
      </w:r>
      <w:proofErr w:type="gram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еделах своей компетенции, определенной настоящим Положением, во всех органах государственной власти Российской Федерации, органах государственной власти Тульской области, общественных организациях, предприятиях и учреждениях всех форм собственности;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4.1.2. запрашивать и получать от руководителей органов и структурных подразделений администрации муниципального образования город Новомосковск, муниципальных предприятий, организаций и учреждений всю необходимую информацию для Управления;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4.1.3. получать при выполнении поручений главы администрации муниципального образования город Новомосковск необходимые пояснения от должностных лиц администрации муниципального </w:t>
      </w: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образования город Новомосковск, ее органов и структурных подразделений, а также руководителей муниципальных предприятий и муниципальных учреждений;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4.1.4. вести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похозяйственные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книги, заверять и выдавать  выписки из </w:t>
      </w:r>
      <w:proofErr w:type="spellStart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похозяйственных</w:t>
      </w:r>
      <w:proofErr w:type="spellEnd"/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книг;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4.1.5. осуществлять переписку с организациями и гражданами по вопросам своей деятельности, используя бланки Управления;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4.1.6. давать разъяснения и консультации должностным лицам, гражданам и юридическим лицам по вопросам, входящим в компетенцию Управления;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 Начальник Управления имеет право: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4.2.1. действовать без доверенности от имени Управления, представлять его во всех  органах государственной власти Российской Федерации, органах государственной власти  Тульской области, общественных организациях, предприятиях и учреждениях всех форм собственности;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4.2.2. распределять обязанности между своими заместителями, руководителями структурных подразделений и работниками Управления и устанавливать их ответственность за порученную сферу деятельности;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4.2.3. издавать приказы по вопросам организации деятельности Управления, распоряжения по вопросам, отнесенным к полномочиям Управления, а также предоставлять отпуска, направлять в командировки работников Управления;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4.2.4. открывать и закрывать лицевые счета управления в органах федерального казначейства и финансовом управлении, совершать по ним операции, подписывать по ним финансовые документы;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4.2.5.   выдавать доверенности;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4.2.6. образовывать комиссии по вопросам осуществляемой Управлением деятельности;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4.2.7. для осуществления функций, предусмотренных п. 4.1 настоящего Положения, подписывать необходимые документы;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4.2.8. осуществлять иные функции в соответствии с действующим законодательством.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lang w:eastAsia="ru-RU"/>
        </w:rPr>
        <w:t>5. Ответственность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5.1. Ответственность за своевременность и качество выполнения возложенных на Управление настоящим Положением функций несет начальник Управления.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5.2. Порядок привлечения к ответственности начальника и работников Управления устанавливается действующим законодательством. </w:t>
      </w:r>
    </w:p>
    <w:p w:rsidR="007E7905" w:rsidRPr="007E7905" w:rsidRDefault="007E7905" w:rsidP="007E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7E7905">
        <w:rPr>
          <w:rFonts w:ascii="Arial" w:eastAsia="Times New Roman" w:hAnsi="Arial" w:cs="Arial"/>
          <w:b/>
          <w:bCs/>
          <w:color w:val="010101"/>
          <w:lang w:eastAsia="ru-RU"/>
        </w:rPr>
        <w:t>6. Заключительные положения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6.1. Настоящее Положение утверждается решением Собрания депутатов муниципального образования город Новомосковск.</w:t>
      </w:r>
    </w:p>
    <w:p w:rsidR="007E7905" w:rsidRPr="007E7905" w:rsidRDefault="007E7905" w:rsidP="007E7905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E790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6.2. Изменения и дополнения к настоящему Положению утверждаются решением Собрания депутатов муниципального образования город Новомосковск.</w:t>
      </w:r>
    </w:p>
    <w:p w:rsidR="00D542E3" w:rsidRDefault="00D542E3"/>
    <w:sectPr w:rsidR="00D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5"/>
    <w:rsid w:val="007E7905"/>
    <w:rsid w:val="00D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ga-va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RigaVas_nmosk" TargetMode="External"/><Relationship Id="rId5" Type="http://schemas.openxmlformats.org/officeDocument/2006/relationships/hyperlink" Target="mailto:riga-vas.nmosk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1</cp:revision>
  <dcterms:created xsi:type="dcterms:W3CDTF">2019-09-27T08:28:00Z</dcterms:created>
  <dcterms:modified xsi:type="dcterms:W3CDTF">2019-09-27T08:31:00Z</dcterms:modified>
</cp:coreProperties>
</file>