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9738B7" w14:textId="5B037388" w:rsidR="007054EF" w:rsidRPr="006B190E" w:rsidRDefault="00052B70" w:rsidP="00AD741B">
      <w:pPr>
        <w:spacing w:after="0" w:line="240" w:lineRule="auto"/>
        <w:jc w:val="center"/>
        <w:rPr>
          <w:rFonts w:ascii="Times New Roman" w:hAnsi="Times New Roman" w:cs="Times New Roman"/>
          <w:b/>
          <w:sz w:val="28"/>
          <w:szCs w:val="28"/>
        </w:rPr>
      </w:pPr>
      <w:r w:rsidRPr="006B190E">
        <w:rPr>
          <w:rFonts w:ascii="Times New Roman" w:hAnsi="Times New Roman" w:cs="Times New Roman"/>
          <w:b/>
          <w:sz w:val="28"/>
          <w:szCs w:val="28"/>
        </w:rPr>
        <w:t>Доклад главы администрации муниципального образования город Новомосковск о достигнутых значениях показателей для оценки эффективности деятельности органов местного самоуправления за отчетный 20</w:t>
      </w:r>
      <w:r w:rsidR="0026248B" w:rsidRPr="006B190E">
        <w:rPr>
          <w:rFonts w:ascii="Times New Roman" w:hAnsi="Times New Roman" w:cs="Times New Roman"/>
          <w:b/>
          <w:sz w:val="28"/>
          <w:szCs w:val="28"/>
        </w:rPr>
        <w:t>2</w:t>
      </w:r>
      <w:r w:rsidR="002202C1" w:rsidRPr="006B190E">
        <w:rPr>
          <w:rFonts w:ascii="Times New Roman" w:hAnsi="Times New Roman" w:cs="Times New Roman"/>
          <w:b/>
          <w:sz w:val="28"/>
          <w:szCs w:val="28"/>
        </w:rPr>
        <w:t>4</w:t>
      </w:r>
      <w:r w:rsidRPr="006B190E">
        <w:rPr>
          <w:rFonts w:ascii="Times New Roman" w:hAnsi="Times New Roman" w:cs="Times New Roman"/>
          <w:b/>
          <w:sz w:val="28"/>
          <w:szCs w:val="28"/>
        </w:rPr>
        <w:t xml:space="preserve"> год и планируемых значениях на трехлетний период</w:t>
      </w:r>
    </w:p>
    <w:p w14:paraId="0067B819" w14:textId="77777777" w:rsidR="00AF4178" w:rsidRPr="006B190E" w:rsidRDefault="00AF4178" w:rsidP="00AD741B">
      <w:pPr>
        <w:spacing w:after="0" w:line="240" w:lineRule="auto"/>
        <w:jc w:val="center"/>
        <w:rPr>
          <w:rFonts w:ascii="Times New Roman" w:hAnsi="Times New Roman" w:cs="Times New Roman"/>
          <w:b/>
          <w:sz w:val="28"/>
          <w:szCs w:val="28"/>
        </w:rPr>
      </w:pPr>
    </w:p>
    <w:p w14:paraId="260E550D" w14:textId="77777777" w:rsidR="00052B70" w:rsidRPr="006B190E" w:rsidRDefault="00052B70" w:rsidP="00116ECA">
      <w:pPr>
        <w:pStyle w:val="a3"/>
        <w:numPr>
          <w:ilvl w:val="0"/>
          <w:numId w:val="1"/>
        </w:numPr>
        <w:spacing w:after="0" w:line="240" w:lineRule="auto"/>
        <w:ind w:left="0" w:firstLine="709"/>
        <w:jc w:val="both"/>
        <w:rPr>
          <w:rFonts w:ascii="Times New Roman" w:hAnsi="Times New Roman" w:cs="Times New Roman"/>
          <w:b/>
          <w:sz w:val="28"/>
          <w:szCs w:val="28"/>
        </w:rPr>
      </w:pPr>
      <w:r w:rsidRPr="006B190E">
        <w:rPr>
          <w:rFonts w:ascii="Times New Roman" w:hAnsi="Times New Roman" w:cs="Times New Roman"/>
          <w:b/>
          <w:sz w:val="28"/>
          <w:szCs w:val="28"/>
        </w:rPr>
        <w:t>Сведения о муниципальном образовании и органах местного самоуправления городского округа</w:t>
      </w:r>
    </w:p>
    <w:p w14:paraId="0EE18F85" w14:textId="77777777" w:rsidR="00052B70" w:rsidRPr="006B190E" w:rsidRDefault="00052B70" w:rsidP="00AD741B">
      <w:pPr>
        <w:pStyle w:val="a3"/>
        <w:spacing w:after="0" w:line="240" w:lineRule="auto"/>
        <w:ind w:left="0" w:firstLine="709"/>
        <w:jc w:val="both"/>
        <w:rPr>
          <w:rFonts w:ascii="Times New Roman" w:hAnsi="Times New Roman" w:cs="Times New Roman"/>
          <w:sz w:val="28"/>
          <w:szCs w:val="28"/>
        </w:rPr>
      </w:pPr>
      <w:r w:rsidRPr="006B190E">
        <w:rPr>
          <w:rFonts w:ascii="Times New Roman" w:hAnsi="Times New Roman" w:cs="Times New Roman"/>
          <w:sz w:val="28"/>
          <w:szCs w:val="28"/>
        </w:rPr>
        <w:t>а. муниципальное образование наделено статусом городского округа Законом Тульской области от 08.07.2008 №1058-ЗТО «О преобразовании муниципального образования город Новомосковск Новомосковского района, установлении границы муниципального образования город Новомосковск Новомосковского района</w:t>
      </w:r>
      <w:r w:rsidR="00CE7F67" w:rsidRPr="006B190E">
        <w:rPr>
          <w:rFonts w:ascii="Times New Roman" w:hAnsi="Times New Roman" w:cs="Times New Roman"/>
          <w:sz w:val="28"/>
          <w:szCs w:val="28"/>
        </w:rPr>
        <w:t>».</w:t>
      </w:r>
    </w:p>
    <w:p w14:paraId="7E4BA13A" w14:textId="77777777" w:rsidR="00CE7F67" w:rsidRPr="006B190E" w:rsidRDefault="00CE7F67" w:rsidP="00AD741B">
      <w:pPr>
        <w:pStyle w:val="a3"/>
        <w:spacing w:after="0" w:line="240" w:lineRule="auto"/>
        <w:ind w:left="0" w:firstLine="709"/>
        <w:jc w:val="both"/>
        <w:rPr>
          <w:rFonts w:ascii="Times New Roman" w:hAnsi="Times New Roman" w:cs="Times New Roman"/>
          <w:sz w:val="28"/>
          <w:szCs w:val="28"/>
        </w:rPr>
      </w:pPr>
      <w:r w:rsidRPr="006B190E">
        <w:rPr>
          <w:rFonts w:ascii="Times New Roman" w:hAnsi="Times New Roman" w:cs="Times New Roman"/>
          <w:sz w:val="28"/>
          <w:szCs w:val="28"/>
        </w:rPr>
        <w:t>б. Административным центром муниципального образования является город Новомосковск. (Устав муниципального образования город Новомосковск)</w:t>
      </w:r>
    </w:p>
    <w:p w14:paraId="36752BF3" w14:textId="77777777" w:rsidR="00CE7F67" w:rsidRPr="006B190E" w:rsidRDefault="00CE7F67" w:rsidP="00AD741B">
      <w:pPr>
        <w:pStyle w:val="a3"/>
        <w:spacing w:after="0" w:line="240" w:lineRule="auto"/>
        <w:ind w:left="0" w:firstLine="709"/>
        <w:jc w:val="both"/>
        <w:rPr>
          <w:rFonts w:ascii="Times New Roman" w:hAnsi="Times New Roman" w:cs="Times New Roman"/>
          <w:sz w:val="28"/>
          <w:szCs w:val="28"/>
        </w:rPr>
      </w:pPr>
      <w:r w:rsidRPr="006B190E">
        <w:rPr>
          <w:rFonts w:ascii="Times New Roman" w:hAnsi="Times New Roman" w:cs="Times New Roman"/>
          <w:sz w:val="28"/>
          <w:szCs w:val="28"/>
        </w:rPr>
        <w:t xml:space="preserve">в. В состав муниципального образования входят </w:t>
      </w:r>
      <w:r w:rsidR="00711769" w:rsidRPr="006B190E">
        <w:rPr>
          <w:rFonts w:ascii="Times New Roman" w:hAnsi="Times New Roman" w:cs="Times New Roman"/>
          <w:sz w:val="28"/>
          <w:szCs w:val="28"/>
        </w:rPr>
        <w:t>9</w:t>
      </w:r>
      <w:r w:rsidR="00095A55" w:rsidRPr="006B190E">
        <w:rPr>
          <w:rFonts w:ascii="Times New Roman" w:hAnsi="Times New Roman" w:cs="Times New Roman"/>
          <w:sz w:val="28"/>
          <w:szCs w:val="28"/>
        </w:rPr>
        <w:t>1</w:t>
      </w:r>
      <w:r w:rsidRPr="006B190E">
        <w:rPr>
          <w:rFonts w:ascii="Times New Roman" w:hAnsi="Times New Roman" w:cs="Times New Roman"/>
          <w:sz w:val="28"/>
          <w:szCs w:val="28"/>
        </w:rPr>
        <w:t xml:space="preserve"> сельски</w:t>
      </w:r>
      <w:r w:rsidR="00095A55" w:rsidRPr="006B190E">
        <w:rPr>
          <w:rFonts w:ascii="Times New Roman" w:hAnsi="Times New Roman" w:cs="Times New Roman"/>
          <w:sz w:val="28"/>
          <w:szCs w:val="28"/>
        </w:rPr>
        <w:t>й</w:t>
      </w:r>
      <w:r w:rsidRPr="006B190E">
        <w:rPr>
          <w:rFonts w:ascii="Times New Roman" w:hAnsi="Times New Roman" w:cs="Times New Roman"/>
          <w:sz w:val="28"/>
          <w:szCs w:val="28"/>
        </w:rPr>
        <w:t xml:space="preserve"> населенны</w:t>
      </w:r>
      <w:r w:rsidR="00116049" w:rsidRPr="006B190E">
        <w:rPr>
          <w:rFonts w:ascii="Times New Roman" w:hAnsi="Times New Roman" w:cs="Times New Roman"/>
          <w:sz w:val="28"/>
          <w:szCs w:val="28"/>
        </w:rPr>
        <w:t>й</w:t>
      </w:r>
      <w:r w:rsidRPr="006B190E">
        <w:rPr>
          <w:rFonts w:ascii="Times New Roman" w:hAnsi="Times New Roman" w:cs="Times New Roman"/>
          <w:sz w:val="28"/>
          <w:szCs w:val="28"/>
        </w:rPr>
        <w:t xml:space="preserve"> пункт.</w:t>
      </w:r>
    </w:p>
    <w:p w14:paraId="4823E91C" w14:textId="77777777" w:rsidR="00CE7F67" w:rsidRPr="006B190E" w:rsidRDefault="00CE7F67" w:rsidP="00AD741B">
      <w:pPr>
        <w:pStyle w:val="a3"/>
        <w:spacing w:after="0" w:line="240" w:lineRule="auto"/>
        <w:ind w:left="0" w:firstLine="709"/>
        <w:jc w:val="both"/>
        <w:rPr>
          <w:rFonts w:ascii="Times New Roman" w:hAnsi="Times New Roman" w:cs="Times New Roman"/>
          <w:sz w:val="28"/>
          <w:szCs w:val="28"/>
        </w:rPr>
      </w:pPr>
      <w:r w:rsidRPr="006B190E">
        <w:rPr>
          <w:rFonts w:ascii="Times New Roman" w:hAnsi="Times New Roman" w:cs="Times New Roman"/>
          <w:sz w:val="28"/>
          <w:szCs w:val="28"/>
        </w:rPr>
        <w:t>г. После 2009 года преобразования городского округа не проводились.</w:t>
      </w:r>
    </w:p>
    <w:p w14:paraId="24B2BD3A" w14:textId="308CA9AB" w:rsidR="00CE7F67" w:rsidRPr="006B190E" w:rsidRDefault="00CE7F67" w:rsidP="00AD741B">
      <w:pPr>
        <w:pStyle w:val="a3"/>
        <w:spacing w:after="0" w:line="240" w:lineRule="auto"/>
        <w:ind w:left="0" w:firstLine="709"/>
        <w:jc w:val="both"/>
        <w:rPr>
          <w:rFonts w:ascii="Times New Roman" w:hAnsi="Times New Roman" w:cs="Times New Roman"/>
          <w:sz w:val="28"/>
          <w:szCs w:val="28"/>
        </w:rPr>
      </w:pPr>
      <w:r w:rsidRPr="006B190E">
        <w:rPr>
          <w:rFonts w:ascii="Times New Roman" w:hAnsi="Times New Roman" w:cs="Times New Roman"/>
          <w:sz w:val="28"/>
          <w:szCs w:val="28"/>
        </w:rPr>
        <w:t>д. площадь муниципального образования по состоянию на 31 декабря 20</w:t>
      </w:r>
      <w:r w:rsidR="0026248B" w:rsidRPr="006B190E">
        <w:rPr>
          <w:rFonts w:ascii="Times New Roman" w:hAnsi="Times New Roman" w:cs="Times New Roman"/>
          <w:sz w:val="28"/>
          <w:szCs w:val="28"/>
        </w:rPr>
        <w:t>2</w:t>
      </w:r>
      <w:r w:rsidR="00BB1391" w:rsidRPr="006B190E">
        <w:rPr>
          <w:rFonts w:ascii="Times New Roman" w:hAnsi="Times New Roman" w:cs="Times New Roman"/>
          <w:sz w:val="28"/>
          <w:szCs w:val="28"/>
        </w:rPr>
        <w:t>4</w:t>
      </w:r>
      <w:r w:rsidRPr="006B190E">
        <w:rPr>
          <w:rFonts w:ascii="Times New Roman" w:hAnsi="Times New Roman" w:cs="Times New Roman"/>
          <w:sz w:val="28"/>
          <w:szCs w:val="28"/>
        </w:rPr>
        <w:t xml:space="preserve"> года составляет 888 км</w:t>
      </w:r>
      <w:r w:rsidRPr="006B190E">
        <w:rPr>
          <w:rFonts w:ascii="Times New Roman" w:hAnsi="Times New Roman" w:cs="Times New Roman"/>
          <w:sz w:val="28"/>
          <w:szCs w:val="28"/>
          <w:vertAlign w:val="superscript"/>
        </w:rPr>
        <w:t>2</w:t>
      </w:r>
      <w:r w:rsidRPr="006B190E">
        <w:rPr>
          <w:rFonts w:ascii="Times New Roman" w:hAnsi="Times New Roman" w:cs="Times New Roman"/>
          <w:sz w:val="28"/>
          <w:szCs w:val="28"/>
        </w:rPr>
        <w:t>.</w:t>
      </w:r>
    </w:p>
    <w:p w14:paraId="78121CAE" w14:textId="6C60F195" w:rsidR="00CE7F67" w:rsidRPr="006B190E" w:rsidRDefault="00CE7F67" w:rsidP="0022068E">
      <w:pPr>
        <w:pStyle w:val="a3"/>
        <w:spacing w:after="0" w:line="240" w:lineRule="auto"/>
        <w:ind w:left="0" w:firstLine="709"/>
        <w:jc w:val="both"/>
        <w:rPr>
          <w:rFonts w:ascii="Times New Roman" w:hAnsi="Times New Roman" w:cs="Times New Roman"/>
          <w:sz w:val="28"/>
          <w:szCs w:val="28"/>
        </w:rPr>
      </w:pPr>
      <w:r w:rsidRPr="006B190E">
        <w:rPr>
          <w:rFonts w:ascii="Times New Roman" w:hAnsi="Times New Roman" w:cs="Times New Roman"/>
          <w:sz w:val="28"/>
          <w:szCs w:val="28"/>
        </w:rPr>
        <w:t>е. Население муниципального образования по состоянию на 31 декабря 20</w:t>
      </w:r>
      <w:r w:rsidR="0026248B" w:rsidRPr="006B190E">
        <w:rPr>
          <w:rFonts w:ascii="Times New Roman" w:hAnsi="Times New Roman" w:cs="Times New Roman"/>
          <w:sz w:val="28"/>
          <w:szCs w:val="28"/>
        </w:rPr>
        <w:t>2</w:t>
      </w:r>
      <w:r w:rsidR="00BB1391" w:rsidRPr="006B190E">
        <w:rPr>
          <w:rFonts w:ascii="Times New Roman" w:hAnsi="Times New Roman" w:cs="Times New Roman"/>
          <w:sz w:val="28"/>
          <w:szCs w:val="28"/>
        </w:rPr>
        <w:t>4</w:t>
      </w:r>
      <w:r w:rsidRPr="006B190E">
        <w:rPr>
          <w:rFonts w:ascii="Times New Roman" w:hAnsi="Times New Roman" w:cs="Times New Roman"/>
          <w:sz w:val="28"/>
          <w:szCs w:val="28"/>
        </w:rPr>
        <w:t xml:space="preserve"> года составляет 1</w:t>
      </w:r>
      <w:r w:rsidR="00055E04" w:rsidRPr="006B190E">
        <w:rPr>
          <w:rFonts w:ascii="Times New Roman" w:hAnsi="Times New Roman" w:cs="Times New Roman"/>
          <w:sz w:val="28"/>
          <w:szCs w:val="28"/>
        </w:rPr>
        <w:t>2</w:t>
      </w:r>
      <w:r w:rsidR="00BB1391" w:rsidRPr="006B190E">
        <w:rPr>
          <w:rFonts w:ascii="Times New Roman" w:hAnsi="Times New Roman" w:cs="Times New Roman"/>
          <w:sz w:val="28"/>
          <w:szCs w:val="28"/>
        </w:rPr>
        <w:t>8</w:t>
      </w:r>
      <w:r w:rsidR="0022068E" w:rsidRPr="006B190E">
        <w:rPr>
          <w:rFonts w:ascii="Times New Roman" w:hAnsi="Times New Roman" w:cs="Times New Roman"/>
          <w:sz w:val="28"/>
          <w:szCs w:val="28"/>
        </w:rPr>
        <w:t xml:space="preserve"> </w:t>
      </w:r>
      <w:r w:rsidR="00BB1391" w:rsidRPr="006B190E">
        <w:rPr>
          <w:rFonts w:ascii="Times New Roman" w:hAnsi="Times New Roman" w:cs="Times New Roman"/>
          <w:sz w:val="28"/>
          <w:szCs w:val="28"/>
        </w:rPr>
        <w:t>151</w:t>
      </w:r>
      <w:r w:rsidRPr="006B190E">
        <w:rPr>
          <w:rFonts w:ascii="Times New Roman" w:hAnsi="Times New Roman" w:cs="Times New Roman"/>
          <w:sz w:val="28"/>
          <w:szCs w:val="28"/>
        </w:rPr>
        <w:t xml:space="preserve"> человек</w:t>
      </w:r>
      <w:r w:rsidR="00116049" w:rsidRPr="006B190E">
        <w:rPr>
          <w:rFonts w:ascii="Times New Roman" w:hAnsi="Times New Roman" w:cs="Times New Roman"/>
          <w:sz w:val="28"/>
          <w:szCs w:val="28"/>
        </w:rPr>
        <w:t>.</w:t>
      </w:r>
    </w:p>
    <w:p w14:paraId="69E32B68" w14:textId="77777777" w:rsidR="00CE7F67" w:rsidRPr="006B190E" w:rsidRDefault="00CE7F67"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ж. Собрание депутатов муниципального образования город Новомосковск состоит из 25 депутатов, избираемых на муниципальных выборах в соответствии с законодательством Российской Федерации о выборах сроком на 5 лет. (Устав муниципального образования город Новомосковск).</w:t>
      </w:r>
    </w:p>
    <w:p w14:paraId="4B0519B6" w14:textId="2ED3073B" w:rsidR="00CE7F67" w:rsidRPr="006B190E" w:rsidRDefault="00CE7F67"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 xml:space="preserve">Выборы действующего состава Собрания депутатов муниципального образования город Новомосковск проводились </w:t>
      </w:r>
      <w:r w:rsidR="0022068E" w:rsidRPr="006B190E">
        <w:rPr>
          <w:rFonts w:ascii="Times New Roman" w:hAnsi="Times New Roman" w:cs="Times New Roman"/>
          <w:sz w:val="28"/>
          <w:szCs w:val="28"/>
        </w:rPr>
        <w:t>10</w:t>
      </w:r>
      <w:r w:rsidRPr="006B190E">
        <w:rPr>
          <w:rFonts w:ascii="Times New Roman" w:hAnsi="Times New Roman" w:cs="Times New Roman"/>
          <w:sz w:val="28"/>
          <w:szCs w:val="28"/>
        </w:rPr>
        <w:t>.09.20</w:t>
      </w:r>
      <w:r w:rsidR="0022068E" w:rsidRPr="006B190E">
        <w:rPr>
          <w:rFonts w:ascii="Times New Roman" w:hAnsi="Times New Roman" w:cs="Times New Roman"/>
          <w:sz w:val="28"/>
          <w:szCs w:val="28"/>
        </w:rPr>
        <w:t>23</w:t>
      </w:r>
      <w:r w:rsidRPr="006B190E">
        <w:rPr>
          <w:rFonts w:ascii="Times New Roman" w:hAnsi="Times New Roman" w:cs="Times New Roman"/>
          <w:sz w:val="28"/>
          <w:szCs w:val="28"/>
        </w:rPr>
        <w:t xml:space="preserve"> года. Срок полномочий действующего состава – 5 лет. По состоянию на 01.01.20</w:t>
      </w:r>
      <w:r w:rsidR="008B6156" w:rsidRPr="006B190E">
        <w:rPr>
          <w:rFonts w:ascii="Times New Roman" w:hAnsi="Times New Roman" w:cs="Times New Roman"/>
          <w:sz w:val="28"/>
          <w:szCs w:val="28"/>
        </w:rPr>
        <w:t>2</w:t>
      </w:r>
      <w:r w:rsidR="0022068E" w:rsidRPr="006B190E">
        <w:rPr>
          <w:rFonts w:ascii="Times New Roman" w:hAnsi="Times New Roman" w:cs="Times New Roman"/>
          <w:sz w:val="28"/>
          <w:szCs w:val="28"/>
        </w:rPr>
        <w:t>4</w:t>
      </w:r>
      <w:r w:rsidRPr="006B190E">
        <w:rPr>
          <w:rFonts w:ascii="Times New Roman" w:hAnsi="Times New Roman" w:cs="Times New Roman"/>
          <w:sz w:val="28"/>
          <w:szCs w:val="28"/>
        </w:rPr>
        <w:t xml:space="preserve"> фактически Собрание депутатов муниципального образования город Новомосковск состоит из 2</w:t>
      </w:r>
      <w:r w:rsidR="00BB1391" w:rsidRPr="006B190E">
        <w:rPr>
          <w:rFonts w:ascii="Times New Roman" w:hAnsi="Times New Roman" w:cs="Times New Roman"/>
          <w:sz w:val="28"/>
          <w:szCs w:val="28"/>
        </w:rPr>
        <w:t>5</w:t>
      </w:r>
      <w:r w:rsidRPr="006B190E">
        <w:rPr>
          <w:rFonts w:ascii="Times New Roman" w:hAnsi="Times New Roman" w:cs="Times New Roman"/>
          <w:sz w:val="28"/>
          <w:szCs w:val="28"/>
        </w:rPr>
        <w:t xml:space="preserve"> депутатов.</w:t>
      </w:r>
    </w:p>
    <w:p w14:paraId="1DB8284C" w14:textId="77777777" w:rsidR="00CE7F67" w:rsidRPr="006B190E" w:rsidRDefault="00E60A82"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 xml:space="preserve">з. Глава администрации муниципального образования назначен </w:t>
      </w:r>
      <w:r w:rsidR="00923310" w:rsidRPr="006B190E">
        <w:rPr>
          <w:rFonts w:ascii="Times New Roman" w:hAnsi="Times New Roman" w:cs="Times New Roman"/>
          <w:sz w:val="28"/>
          <w:szCs w:val="28"/>
        </w:rPr>
        <w:t>1</w:t>
      </w:r>
      <w:r w:rsidR="0022068E" w:rsidRPr="006B190E">
        <w:rPr>
          <w:rFonts w:ascii="Times New Roman" w:hAnsi="Times New Roman" w:cs="Times New Roman"/>
          <w:sz w:val="28"/>
          <w:szCs w:val="28"/>
        </w:rPr>
        <w:t>9</w:t>
      </w:r>
      <w:r w:rsidR="00923310" w:rsidRPr="006B190E">
        <w:rPr>
          <w:rFonts w:ascii="Times New Roman" w:hAnsi="Times New Roman" w:cs="Times New Roman"/>
          <w:sz w:val="28"/>
          <w:szCs w:val="28"/>
        </w:rPr>
        <w:t>.09.</w:t>
      </w:r>
      <w:r w:rsidRPr="006B190E">
        <w:rPr>
          <w:rFonts w:ascii="Times New Roman" w:hAnsi="Times New Roman" w:cs="Times New Roman"/>
          <w:sz w:val="28"/>
          <w:szCs w:val="28"/>
        </w:rPr>
        <w:t>20</w:t>
      </w:r>
      <w:r w:rsidR="0022068E" w:rsidRPr="006B190E">
        <w:rPr>
          <w:rFonts w:ascii="Times New Roman" w:hAnsi="Times New Roman" w:cs="Times New Roman"/>
          <w:sz w:val="28"/>
          <w:szCs w:val="28"/>
        </w:rPr>
        <w:t>23</w:t>
      </w:r>
      <w:r w:rsidRPr="006B190E">
        <w:rPr>
          <w:rFonts w:ascii="Times New Roman" w:hAnsi="Times New Roman" w:cs="Times New Roman"/>
          <w:sz w:val="28"/>
          <w:szCs w:val="28"/>
        </w:rPr>
        <w:t xml:space="preserve"> года на срок полномочий Собрания депутатов (до дня начала работы Собрания депутатов нового созыва)</w:t>
      </w:r>
    </w:p>
    <w:p w14:paraId="3CEEA288" w14:textId="7668DD6D" w:rsidR="00E60A82" w:rsidRPr="006B190E" w:rsidRDefault="00E60A82"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и. По состоянию на 01.01.20</w:t>
      </w:r>
      <w:r w:rsidR="008B6156" w:rsidRPr="006B190E">
        <w:rPr>
          <w:rFonts w:ascii="Times New Roman" w:hAnsi="Times New Roman" w:cs="Times New Roman"/>
          <w:sz w:val="28"/>
          <w:szCs w:val="28"/>
        </w:rPr>
        <w:t>2</w:t>
      </w:r>
      <w:r w:rsidR="00BB1391" w:rsidRPr="006B190E">
        <w:rPr>
          <w:rFonts w:ascii="Times New Roman" w:hAnsi="Times New Roman" w:cs="Times New Roman"/>
          <w:sz w:val="28"/>
          <w:szCs w:val="28"/>
        </w:rPr>
        <w:t>5</w:t>
      </w:r>
      <w:r w:rsidRPr="006B190E">
        <w:rPr>
          <w:rFonts w:ascii="Times New Roman" w:hAnsi="Times New Roman" w:cs="Times New Roman"/>
          <w:sz w:val="28"/>
          <w:szCs w:val="28"/>
        </w:rPr>
        <w:t xml:space="preserve"> г. общая численность работников администрации</w:t>
      </w:r>
      <w:r w:rsidR="00CC70C4" w:rsidRPr="006B190E">
        <w:rPr>
          <w:rFonts w:ascii="Times New Roman" w:hAnsi="Times New Roman" w:cs="Times New Roman"/>
          <w:sz w:val="28"/>
          <w:szCs w:val="28"/>
        </w:rPr>
        <w:t>,</w:t>
      </w:r>
      <w:r w:rsidRPr="006B190E">
        <w:rPr>
          <w:rFonts w:ascii="Times New Roman" w:hAnsi="Times New Roman" w:cs="Times New Roman"/>
          <w:sz w:val="28"/>
          <w:szCs w:val="28"/>
        </w:rPr>
        <w:t xml:space="preserve"> Собрания депутатов муниципального образования город Новомосковск </w:t>
      </w:r>
      <w:r w:rsidR="00CC70C4" w:rsidRPr="006B190E">
        <w:rPr>
          <w:rFonts w:ascii="Times New Roman" w:hAnsi="Times New Roman" w:cs="Times New Roman"/>
          <w:sz w:val="28"/>
          <w:szCs w:val="28"/>
        </w:rPr>
        <w:t xml:space="preserve">и Контрольно-счетной палаты муниципального образования город Новомосковск </w:t>
      </w:r>
      <w:r w:rsidRPr="006B190E">
        <w:rPr>
          <w:rFonts w:ascii="Times New Roman" w:hAnsi="Times New Roman" w:cs="Times New Roman"/>
          <w:sz w:val="28"/>
          <w:szCs w:val="28"/>
        </w:rPr>
        <w:t xml:space="preserve">составляет </w:t>
      </w:r>
      <w:r w:rsidR="00534032" w:rsidRPr="006B190E">
        <w:rPr>
          <w:rFonts w:ascii="Times New Roman" w:hAnsi="Times New Roman" w:cs="Times New Roman"/>
          <w:sz w:val="28"/>
          <w:szCs w:val="28"/>
        </w:rPr>
        <w:t>308</w:t>
      </w:r>
      <w:r w:rsidRPr="006B190E">
        <w:rPr>
          <w:rFonts w:ascii="Times New Roman" w:hAnsi="Times New Roman" w:cs="Times New Roman"/>
          <w:sz w:val="28"/>
          <w:szCs w:val="28"/>
        </w:rPr>
        <w:t xml:space="preserve"> человек.</w:t>
      </w:r>
    </w:p>
    <w:p w14:paraId="29DE1AB7" w14:textId="77777777" w:rsidR="00E60A82" w:rsidRPr="006B190E" w:rsidRDefault="00E60A82"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Из них:</w:t>
      </w:r>
    </w:p>
    <w:p w14:paraId="48B3BA1E" w14:textId="77777777" w:rsidR="00E60A82" w:rsidRPr="006B190E" w:rsidRDefault="00E60A82"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 xml:space="preserve">- лица, замещающие муниципальные должности – </w:t>
      </w:r>
      <w:r w:rsidR="00CC70C4" w:rsidRPr="006B190E">
        <w:rPr>
          <w:rFonts w:ascii="Times New Roman" w:hAnsi="Times New Roman" w:cs="Times New Roman"/>
          <w:sz w:val="28"/>
          <w:szCs w:val="28"/>
        </w:rPr>
        <w:t>3</w:t>
      </w:r>
      <w:r w:rsidRPr="006B190E">
        <w:rPr>
          <w:rFonts w:ascii="Times New Roman" w:hAnsi="Times New Roman" w:cs="Times New Roman"/>
          <w:sz w:val="28"/>
          <w:szCs w:val="28"/>
        </w:rPr>
        <w:t xml:space="preserve"> чел.</w:t>
      </w:r>
    </w:p>
    <w:p w14:paraId="31F7F05C" w14:textId="1204BD6F" w:rsidR="00E60A82" w:rsidRPr="006B190E" w:rsidRDefault="00E60A82"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 xml:space="preserve">- общее фактическое количество муниципальных служащих – </w:t>
      </w:r>
      <w:r w:rsidR="00F25992" w:rsidRPr="006B190E">
        <w:rPr>
          <w:rFonts w:ascii="Times New Roman" w:hAnsi="Times New Roman" w:cs="Times New Roman"/>
          <w:sz w:val="28"/>
          <w:szCs w:val="28"/>
        </w:rPr>
        <w:t>17</w:t>
      </w:r>
      <w:r w:rsidR="00534032" w:rsidRPr="006B190E">
        <w:rPr>
          <w:rFonts w:ascii="Times New Roman" w:hAnsi="Times New Roman" w:cs="Times New Roman"/>
          <w:sz w:val="28"/>
          <w:szCs w:val="28"/>
        </w:rPr>
        <w:t>7</w:t>
      </w:r>
      <w:r w:rsidRPr="006B190E">
        <w:rPr>
          <w:rFonts w:ascii="Times New Roman" w:hAnsi="Times New Roman" w:cs="Times New Roman"/>
          <w:sz w:val="28"/>
          <w:szCs w:val="28"/>
        </w:rPr>
        <w:t xml:space="preserve"> чел.</w:t>
      </w:r>
    </w:p>
    <w:p w14:paraId="0FCCBCA3" w14:textId="77777777" w:rsidR="00E60A82" w:rsidRPr="006B190E" w:rsidRDefault="00E60A82"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Вместе с тем исполнение полномочий распределено среди муниципальных служащих следующим образом:</w:t>
      </w:r>
    </w:p>
    <w:p w14:paraId="3C6D6A12" w14:textId="76C9FA9E" w:rsidR="00E60A82" w:rsidRPr="006B190E" w:rsidRDefault="00E60A82"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 xml:space="preserve">- собственные полномочия муниципального образования – </w:t>
      </w:r>
      <w:r w:rsidR="00F25992" w:rsidRPr="006B190E">
        <w:rPr>
          <w:rFonts w:ascii="Times New Roman" w:hAnsi="Times New Roman" w:cs="Times New Roman"/>
          <w:sz w:val="28"/>
          <w:szCs w:val="28"/>
        </w:rPr>
        <w:t>17</w:t>
      </w:r>
      <w:r w:rsidR="00534032" w:rsidRPr="006B190E">
        <w:rPr>
          <w:rFonts w:ascii="Times New Roman" w:hAnsi="Times New Roman" w:cs="Times New Roman"/>
          <w:sz w:val="28"/>
          <w:szCs w:val="28"/>
        </w:rPr>
        <w:t>7</w:t>
      </w:r>
      <w:r w:rsidRPr="006B190E">
        <w:rPr>
          <w:rFonts w:ascii="Times New Roman" w:hAnsi="Times New Roman" w:cs="Times New Roman"/>
          <w:sz w:val="28"/>
          <w:szCs w:val="28"/>
        </w:rPr>
        <w:t xml:space="preserve"> чел.</w:t>
      </w:r>
    </w:p>
    <w:p w14:paraId="4C8AF880" w14:textId="77777777" w:rsidR="00E60A82" w:rsidRPr="006B190E" w:rsidRDefault="00E60A82"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 полномочия других муниципальных образований, переданных соглашением – 0 чел.</w:t>
      </w:r>
    </w:p>
    <w:p w14:paraId="0A6C16AD" w14:textId="77777777" w:rsidR="007F17D4" w:rsidRPr="006B190E" w:rsidRDefault="00E60A82" w:rsidP="00AD741B">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lastRenderedPageBreak/>
        <w:t>к. Официальное печатное издание для опубликования правовых актов органов местного самоуправления «</w:t>
      </w:r>
      <w:r w:rsidR="007F17D4" w:rsidRPr="006B190E">
        <w:rPr>
          <w:rFonts w:ascii="Times New Roman" w:hAnsi="Times New Roman" w:cs="Times New Roman"/>
          <w:sz w:val="28"/>
          <w:szCs w:val="28"/>
        </w:rPr>
        <w:t>«Официальный вестник муниципального образования город Новомосковск»</w:t>
      </w:r>
      <w:r w:rsidR="00770F04" w:rsidRPr="006B190E">
        <w:rPr>
          <w:rFonts w:ascii="Times New Roman" w:hAnsi="Times New Roman" w:cs="Times New Roman"/>
          <w:sz w:val="28"/>
          <w:szCs w:val="28"/>
        </w:rPr>
        <w:t>.</w:t>
      </w:r>
    </w:p>
    <w:p w14:paraId="1B07D04A" w14:textId="4474CD17" w:rsidR="001F31F2" w:rsidRPr="006B190E" w:rsidRDefault="00E60A82" w:rsidP="00BB1391">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 xml:space="preserve">л. Официальный сайт администрации города Новомосковска: </w:t>
      </w:r>
      <w:proofErr w:type="spellStart"/>
      <w:r w:rsidR="00BB1391" w:rsidRPr="006B190E">
        <w:rPr>
          <w:rFonts w:ascii="Times New Roman" w:hAnsi="Times New Roman" w:cs="Times New Roman"/>
          <w:sz w:val="28"/>
          <w:szCs w:val="28"/>
          <w:lang w:val="en-US"/>
        </w:rPr>
        <w:t>novomoskovsk</w:t>
      </w:r>
      <w:proofErr w:type="spellEnd"/>
      <w:r w:rsidR="00BB1391" w:rsidRPr="006B190E">
        <w:rPr>
          <w:rFonts w:ascii="Times New Roman" w:hAnsi="Times New Roman" w:cs="Times New Roman"/>
          <w:sz w:val="28"/>
          <w:szCs w:val="28"/>
        </w:rPr>
        <w:t>.</w:t>
      </w:r>
      <w:proofErr w:type="spellStart"/>
      <w:r w:rsidR="00BB1391" w:rsidRPr="006B190E">
        <w:rPr>
          <w:rFonts w:ascii="Times New Roman" w:hAnsi="Times New Roman" w:cs="Times New Roman"/>
          <w:sz w:val="28"/>
          <w:szCs w:val="28"/>
          <w:lang w:val="en-US"/>
        </w:rPr>
        <w:t>gosuslugi</w:t>
      </w:r>
      <w:proofErr w:type="spellEnd"/>
      <w:r w:rsidR="00BB1391" w:rsidRPr="006B190E">
        <w:rPr>
          <w:rFonts w:ascii="Times New Roman" w:hAnsi="Times New Roman" w:cs="Times New Roman"/>
          <w:sz w:val="28"/>
          <w:szCs w:val="28"/>
        </w:rPr>
        <w:t>.</w:t>
      </w:r>
      <w:r w:rsidR="00BB1391" w:rsidRPr="006B190E">
        <w:rPr>
          <w:rFonts w:ascii="Times New Roman" w:hAnsi="Times New Roman" w:cs="Times New Roman"/>
          <w:sz w:val="28"/>
          <w:szCs w:val="28"/>
          <w:lang w:val="en-US"/>
        </w:rPr>
        <w:t>ru</w:t>
      </w:r>
      <w:r w:rsidR="00BB1391" w:rsidRPr="006B190E">
        <w:rPr>
          <w:rFonts w:ascii="Times New Roman" w:hAnsi="Times New Roman" w:cs="Times New Roman"/>
          <w:sz w:val="28"/>
          <w:szCs w:val="28"/>
        </w:rPr>
        <w:t xml:space="preserve"> </w:t>
      </w:r>
    </w:p>
    <w:p w14:paraId="2069CD81" w14:textId="77777777" w:rsidR="00BB1391" w:rsidRPr="006B190E" w:rsidRDefault="00BB1391" w:rsidP="00AD741B">
      <w:pPr>
        <w:spacing w:after="0" w:line="240" w:lineRule="auto"/>
        <w:ind w:firstLine="709"/>
        <w:jc w:val="both"/>
        <w:rPr>
          <w:rFonts w:ascii="Times New Roman" w:hAnsi="Times New Roman" w:cs="Times New Roman"/>
          <w:b/>
          <w:sz w:val="28"/>
          <w:szCs w:val="28"/>
        </w:rPr>
      </w:pPr>
    </w:p>
    <w:p w14:paraId="15CE6B25" w14:textId="39AB1487" w:rsidR="00E60A82" w:rsidRPr="006B190E" w:rsidRDefault="005C5F5E" w:rsidP="00AD741B">
      <w:pPr>
        <w:spacing w:after="0" w:line="240" w:lineRule="auto"/>
        <w:ind w:firstLine="709"/>
        <w:jc w:val="both"/>
        <w:rPr>
          <w:rFonts w:ascii="Times New Roman" w:hAnsi="Times New Roman" w:cs="Times New Roman"/>
          <w:b/>
          <w:sz w:val="28"/>
          <w:szCs w:val="28"/>
        </w:rPr>
      </w:pPr>
      <w:r w:rsidRPr="006B190E">
        <w:rPr>
          <w:rFonts w:ascii="Times New Roman" w:hAnsi="Times New Roman" w:cs="Times New Roman"/>
          <w:b/>
          <w:sz w:val="28"/>
          <w:szCs w:val="28"/>
        </w:rPr>
        <w:t>2. Состояние муниципального образования в 20</w:t>
      </w:r>
      <w:r w:rsidR="00247159" w:rsidRPr="006B190E">
        <w:rPr>
          <w:rFonts w:ascii="Times New Roman" w:hAnsi="Times New Roman" w:cs="Times New Roman"/>
          <w:b/>
          <w:sz w:val="28"/>
          <w:szCs w:val="28"/>
        </w:rPr>
        <w:t>2</w:t>
      </w:r>
      <w:r w:rsidR="00BB1391" w:rsidRPr="006B190E">
        <w:rPr>
          <w:rFonts w:ascii="Times New Roman" w:hAnsi="Times New Roman" w:cs="Times New Roman"/>
          <w:b/>
          <w:sz w:val="28"/>
          <w:szCs w:val="28"/>
        </w:rPr>
        <w:t>4</w:t>
      </w:r>
      <w:r w:rsidRPr="006B190E">
        <w:rPr>
          <w:rFonts w:ascii="Times New Roman" w:hAnsi="Times New Roman" w:cs="Times New Roman"/>
          <w:b/>
          <w:sz w:val="28"/>
          <w:szCs w:val="28"/>
        </w:rPr>
        <w:t xml:space="preserve"> году, динамика развития в сравнении с предыдущим годом и прогноз на 3хлетний период</w:t>
      </w:r>
    </w:p>
    <w:p w14:paraId="2AF13020" w14:textId="77777777" w:rsidR="005C5F5E" w:rsidRPr="006B190E" w:rsidRDefault="00C10C5A" w:rsidP="00AD741B">
      <w:pPr>
        <w:spacing w:after="0" w:line="240" w:lineRule="auto"/>
        <w:jc w:val="center"/>
        <w:rPr>
          <w:rFonts w:ascii="Times New Roman" w:hAnsi="Times New Roman" w:cs="Times New Roman"/>
          <w:b/>
          <w:sz w:val="28"/>
          <w:szCs w:val="28"/>
        </w:rPr>
      </w:pPr>
      <w:r w:rsidRPr="006B190E">
        <w:rPr>
          <w:rFonts w:ascii="Times New Roman" w:hAnsi="Times New Roman" w:cs="Times New Roman"/>
          <w:b/>
          <w:sz w:val="28"/>
          <w:szCs w:val="28"/>
          <w:lang w:val="en-US"/>
        </w:rPr>
        <w:t>I</w:t>
      </w:r>
      <w:r w:rsidRPr="006B190E">
        <w:rPr>
          <w:rFonts w:ascii="Times New Roman" w:hAnsi="Times New Roman" w:cs="Times New Roman"/>
          <w:b/>
          <w:sz w:val="28"/>
          <w:szCs w:val="28"/>
        </w:rPr>
        <w:t xml:space="preserve">. </w:t>
      </w:r>
      <w:r w:rsidR="005C5F5E" w:rsidRPr="006B190E">
        <w:rPr>
          <w:rFonts w:ascii="Times New Roman" w:hAnsi="Times New Roman" w:cs="Times New Roman"/>
          <w:b/>
          <w:sz w:val="28"/>
          <w:szCs w:val="28"/>
        </w:rPr>
        <w:t>Экономическое развитие</w:t>
      </w:r>
    </w:p>
    <w:p w14:paraId="01D0129F" w14:textId="77777777" w:rsidR="00B05616" w:rsidRPr="006B190E" w:rsidRDefault="00B05616" w:rsidP="00B05616">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 xml:space="preserve">1. </w:t>
      </w:r>
      <w:r w:rsidR="00B410DB" w:rsidRPr="006B190E">
        <w:rPr>
          <w:rFonts w:ascii="Times New Roman" w:hAnsi="Times New Roman" w:cs="Times New Roman"/>
          <w:sz w:val="28"/>
          <w:szCs w:val="28"/>
        </w:rPr>
        <w:t>П</w:t>
      </w:r>
      <w:r w:rsidRPr="006B190E">
        <w:rPr>
          <w:rFonts w:ascii="Times New Roman" w:hAnsi="Times New Roman" w:cs="Times New Roman"/>
          <w:sz w:val="28"/>
          <w:szCs w:val="28"/>
        </w:rPr>
        <w:t>оказатель указан на основании данных сплошного статистического наблюдения за деятельностью субъектов малого и среднего предпринимательства (ФЗ от 24.07.2007 №209-фз).</w:t>
      </w:r>
    </w:p>
    <w:p w14:paraId="26670CD2" w14:textId="77777777" w:rsidR="00B05616" w:rsidRPr="006B190E" w:rsidRDefault="00116049" w:rsidP="00B05616">
      <w:pPr>
        <w:spacing w:after="0" w:line="240" w:lineRule="auto"/>
        <w:ind w:firstLine="709"/>
        <w:jc w:val="both"/>
        <w:rPr>
          <w:rFonts w:ascii="Times New Roman" w:hAnsi="Times New Roman" w:cs="Times New Roman"/>
          <w:sz w:val="28"/>
          <w:szCs w:val="28"/>
        </w:rPr>
      </w:pPr>
      <w:r w:rsidRPr="006B190E">
        <w:rPr>
          <w:rFonts w:ascii="Times New Roman" w:hAnsi="Times New Roman" w:cs="Times New Roman"/>
          <w:sz w:val="28"/>
          <w:szCs w:val="28"/>
        </w:rPr>
        <w:t>2.</w:t>
      </w:r>
      <w:r w:rsidR="00B05616" w:rsidRPr="006B190E">
        <w:rPr>
          <w:rFonts w:ascii="Times New Roman" w:hAnsi="Times New Roman" w:cs="Times New Roman"/>
          <w:sz w:val="28"/>
          <w:szCs w:val="28"/>
        </w:rPr>
        <w:t xml:space="preserve"> Показатель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также рассчитывается на основании данных сплошного статистического наблюдения за деятельностью субъектов малого и среднего предпринимательства.</w:t>
      </w:r>
    </w:p>
    <w:p w14:paraId="5A638A77" w14:textId="77777777" w:rsidR="00090D61" w:rsidRPr="006B190E" w:rsidRDefault="0026248B" w:rsidP="00116049">
      <w:pPr>
        <w:pStyle w:val="a3"/>
        <w:tabs>
          <w:tab w:val="left" w:pos="1134"/>
        </w:tabs>
        <w:spacing w:after="0" w:line="240" w:lineRule="auto"/>
        <w:ind w:left="0" w:firstLine="720"/>
        <w:jc w:val="both"/>
        <w:rPr>
          <w:rFonts w:ascii="Times New Roman" w:hAnsi="Times New Roman" w:cs="Times New Roman"/>
          <w:sz w:val="28"/>
          <w:szCs w:val="28"/>
        </w:rPr>
      </w:pPr>
      <w:r w:rsidRPr="006B190E">
        <w:rPr>
          <w:rFonts w:ascii="Times New Roman" w:hAnsi="Times New Roman" w:cs="Times New Roman"/>
          <w:sz w:val="28"/>
          <w:szCs w:val="28"/>
        </w:rPr>
        <w:t xml:space="preserve">3. </w:t>
      </w:r>
      <w:r w:rsidR="00090D61" w:rsidRPr="006B190E">
        <w:rPr>
          <w:rFonts w:ascii="Times New Roman" w:hAnsi="Times New Roman" w:cs="Times New Roman"/>
          <w:sz w:val="28"/>
          <w:szCs w:val="28"/>
        </w:rPr>
        <w:t xml:space="preserve">Инвестиционная политика муниципального образования осуществляется исходя из оценки реальной социально-экономической ситуации. Проводятся мероприятия по привлечению дополнительных инвестиционных ресурсов, с целью привлечения деловых партнеров и созданию благоприятных условий для взаимовыгодного сотрудничества. </w:t>
      </w:r>
    </w:p>
    <w:p w14:paraId="37C3CE39" w14:textId="6BF0CD64" w:rsidR="005D275D" w:rsidRPr="006B190E" w:rsidRDefault="005D275D" w:rsidP="00AD741B">
      <w:pPr>
        <w:pStyle w:val="a3"/>
        <w:tabs>
          <w:tab w:val="left" w:pos="993"/>
        </w:tabs>
        <w:spacing w:after="0" w:line="240" w:lineRule="auto"/>
        <w:ind w:left="0" w:firstLine="709"/>
        <w:jc w:val="both"/>
        <w:rPr>
          <w:rFonts w:ascii="Times New Roman" w:hAnsi="Times New Roman" w:cs="Times New Roman"/>
          <w:sz w:val="28"/>
          <w:szCs w:val="28"/>
        </w:rPr>
      </w:pPr>
      <w:r w:rsidRPr="006B190E">
        <w:rPr>
          <w:rFonts w:ascii="Times New Roman" w:hAnsi="Times New Roman" w:cs="Times New Roman"/>
          <w:sz w:val="28"/>
          <w:szCs w:val="28"/>
        </w:rPr>
        <w:t>Объем инвестиций в основной капитал за 20</w:t>
      </w:r>
      <w:r w:rsidR="0026248B" w:rsidRPr="006B190E">
        <w:rPr>
          <w:rFonts w:ascii="Times New Roman" w:hAnsi="Times New Roman" w:cs="Times New Roman"/>
          <w:sz w:val="28"/>
          <w:szCs w:val="28"/>
        </w:rPr>
        <w:t>2</w:t>
      </w:r>
      <w:r w:rsidR="00BB1391" w:rsidRPr="006B190E">
        <w:rPr>
          <w:rFonts w:ascii="Times New Roman" w:hAnsi="Times New Roman" w:cs="Times New Roman"/>
          <w:sz w:val="28"/>
          <w:szCs w:val="28"/>
        </w:rPr>
        <w:t>4</w:t>
      </w:r>
      <w:r w:rsidRPr="006B190E">
        <w:rPr>
          <w:rFonts w:ascii="Times New Roman" w:hAnsi="Times New Roman" w:cs="Times New Roman"/>
          <w:sz w:val="28"/>
          <w:szCs w:val="28"/>
        </w:rPr>
        <w:t xml:space="preserve"> г. составил </w:t>
      </w:r>
      <w:r w:rsidR="007407C8" w:rsidRPr="006B190E">
        <w:rPr>
          <w:rFonts w:ascii="Times New Roman" w:hAnsi="Times New Roman" w:cs="Times New Roman"/>
          <w:sz w:val="28"/>
          <w:szCs w:val="28"/>
        </w:rPr>
        <w:t>около</w:t>
      </w:r>
      <w:r w:rsidRPr="006B190E">
        <w:rPr>
          <w:rFonts w:ascii="Times New Roman" w:hAnsi="Times New Roman" w:cs="Times New Roman"/>
          <w:sz w:val="28"/>
          <w:szCs w:val="28"/>
        </w:rPr>
        <w:t xml:space="preserve"> </w:t>
      </w:r>
      <w:r w:rsidR="00BB1391" w:rsidRPr="006B190E">
        <w:rPr>
          <w:rFonts w:ascii="Times New Roman" w:hAnsi="Times New Roman" w:cs="Times New Roman"/>
          <w:sz w:val="28"/>
          <w:szCs w:val="28"/>
        </w:rPr>
        <w:t>33</w:t>
      </w:r>
      <w:r w:rsidR="00B05616" w:rsidRPr="006B190E">
        <w:rPr>
          <w:rFonts w:ascii="Times New Roman" w:hAnsi="Times New Roman" w:cs="Times New Roman"/>
          <w:sz w:val="28"/>
          <w:szCs w:val="28"/>
        </w:rPr>
        <w:t>,</w:t>
      </w:r>
      <w:r w:rsidR="00BB1391" w:rsidRPr="006B190E">
        <w:rPr>
          <w:rFonts w:ascii="Times New Roman" w:hAnsi="Times New Roman" w:cs="Times New Roman"/>
          <w:sz w:val="28"/>
          <w:szCs w:val="28"/>
        </w:rPr>
        <w:t>4</w:t>
      </w:r>
      <w:r w:rsidRPr="006B190E">
        <w:rPr>
          <w:rFonts w:ascii="Times New Roman" w:hAnsi="Times New Roman" w:cs="Times New Roman"/>
          <w:sz w:val="28"/>
          <w:szCs w:val="28"/>
        </w:rPr>
        <w:t xml:space="preserve"> млрд. рублей, на </w:t>
      </w:r>
      <w:r w:rsidR="00B05616" w:rsidRPr="006B190E">
        <w:rPr>
          <w:rFonts w:ascii="Times New Roman" w:hAnsi="Times New Roman" w:cs="Times New Roman"/>
          <w:sz w:val="28"/>
          <w:szCs w:val="28"/>
        </w:rPr>
        <w:t>23</w:t>
      </w:r>
      <w:r w:rsidR="00770F04" w:rsidRPr="006B190E">
        <w:rPr>
          <w:rFonts w:ascii="Times New Roman" w:hAnsi="Times New Roman" w:cs="Times New Roman"/>
          <w:sz w:val="28"/>
          <w:szCs w:val="28"/>
        </w:rPr>
        <w:t>,</w:t>
      </w:r>
      <w:r w:rsidR="00B05616" w:rsidRPr="006B190E">
        <w:rPr>
          <w:rFonts w:ascii="Times New Roman" w:hAnsi="Times New Roman" w:cs="Times New Roman"/>
          <w:sz w:val="28"/>
          <w:szCs w:val="28"/>
        </w:rPr>
        <w:t>9</w:t>
      </w:r>
      <w:r w:rsidRPr="006B190E">
        <w:rPr>
          <w:rFonts w:ascii="Times New Roman" w:hAnsi="Times New Roman" w:cs="Times New Roman"/>
          <w:sz w:val="28"/>
          <w:szCs w:val="28"/>
        </w:rPr>
        <w:t xml:space="preserve">% </w:t>
      </w:r>
      <w:r w:rsidR="00055E04" w:rsidRPr="006B190E">
        <w:rPr>
          <w:rFonts w:ascii="Times New Roman" w:hAnsi="Times New Roman" w:cs="Times New Roman"/>
          <w:sz w:val="28"/>
          <w:szCs w:val="28"/>
        </w:rPr>
        <w:t>ниже</w:t>
      </w:r>
      <w:r w:rsidRPr="006B190E">
        <w:rPr>
          <w:rFonts w:ascii="Times New Roman" w:hAnsi="Times New Roman" w:cs="Times New Roman"/>
          <w:sz w:val="28"/>
          <w:szCs w:val="28"/>
        </w:rPr>
        <w:t xml:space="preserve"> уровня 20</w:t>
      </w:r>
      <w:r w:rsidR="00B05616" w:rsidRPr="006B190E">
        <w:rPr>
          <w:rFonts w:ascii="Times New Roman" w:hAnsi="Times New Roman" w:cs="Times New Roman"/>
          <w:sz w:val="28"/>
          <w:szCs w:val="28"/>
        </w:rPr>
        <w:t>2</w:t>
      </w:r>
      <w:r w:rsidR="00BB1391" w:rsidRPr="006B190E">
        <w:rPr>
          <w:rFonts w:ascii="Times New Roman" w:hAnsi="Times New Roman" w:cs="Times New Roman"/>
          <w:sz w:val="28"/>
          <w:szCs w:val="28"/>
        </w:rPr>
        <w:t>3</w:t>
      </w:r>
      <w:r w:rsidRPr="006B190E">
        <w:rPr>
          <w:rFonts w:ascii="Times New Roman" w:hAnsi="Times New Roman" w:cs="Times New Roman"/>
          <w:sz w:val="28"/>
          <w:szCs w:val="28"/>
        </w:rPr>
        <w:t xml:space="preserve"> года</w:t>
      </w:r>
      <w:r w:rsidR="008F224D" w:rsidRPr="006B190E">
        <w:rPr>
          <w:rFonts w:ascii="Times New Roman" w:hAnsi="Times New Roman" w:cs="Times New Roman"/>
          <w:sz w:val="28"/>
          <w:szCs w:val="28"/>
        </w:rPr>
        <w:t xml:space="preserve"> в сопоставимых ценах</w:t>
      </w:r>
      <w:r w:rsidRPr="006B190E">
        <w:rPr>
          <w:rFonts w:ascii="Times New Roman" w:hAnsi="Times New Roman" w:cs="Times New Roman"/>
          <w:sz w:val="28"/>
          <w:szCs w:val="28"/>
        </w:rPr>
        <w:t xml:space="preserve">. </w:t>
      </w:r>
    </w:p>
    <w:p w14:paraId="16A1F31B" w14:textId="77777777" w:rsidR="000A07D3" w:rsidRPr="006B190E" w:rsidRDefault="00090D61" w:rsidP="000A07D3">
      <w:pPr>
        <w:tabs>
          <w:tab w:val="left" w:pos="1134"/>
        </w:tabs>
        <w:spacing w:after="0" w:line="240" w:lineRule="auto"/>
        <w:ind w:firstLine="720"/>
        <w:contextualSpacing/>
        <w:jc w:val="both"/>
        <w:rPr>
          <w:rFonts w:ascii="Times New Roman" w:eastAsia="Calibri" w:hAnsi="Times New Roman" w:cs="Times New Roman"/>
          <w:sz w:val="28"/>
          <w:szCs w:val="28"/>
        </w:rPr>
      </w:pPr>
      <w:r w:rsidRPr="006B190E">
        <w:rPr>
          <w:rFonts w:ascii="Times New Roman" w:hAnsi="Times New Roman" w:cs="Times New Roman"/>
          <w:sz w:val="28"/>
          <w:szCs w:val="28"/>
        </w:rPr>
        <w:t>4</w:t>
      </w:r>
      <w:r w:rsidR="00F15E1F" w:rsidRPr="006B190E">
        <w:rPr>
          <w:rFonts w:ascii="Times New Roman" w:hAnsi="Times New Roman" w:cs="Times New Roman"/>
          <w:sz w:val="28"/>
          <w:szCs w:val="28"/>
        </w:rPr>
        <w:t xml:space="preserve">. </w:t>
      </w:r>
      <w:r w:rsidR="000A07D3" w:rsidRPr="006B190E">
        <w:rPr>
          <w:rFonts w:ascii="Times New Roman" w:eastAsia="Calibri" w:hAnsi="Times New Roman" w:cs="Times New Roman"/>
          <w:sz w:val="28"/>
          <w:szCs w:val="28"/>
        </w:rPr>
        <w:t xml:space="preserve">При расчете показателя за 100% принята общая площадь территории городского округа – 88 803 га. Необходимо отметить, что из состава этих земель 20898 или 23,5% территории округа не являются объектами налогообложения (необлагаемые налогом земли – нарушенные земли, вода, болота, древесно-кустарниковая растительность и др., а также земли, предоставленные в аренду, что существенно снижает величину доли налогооблагаемых земельных участков. За 2024 год показатель доли площади земельных участков, являющихся объектами налогообложения земельным налогом к общей площади территории муниципального образования, составил 79,23%. Этот же показатель за 2023 год – 79,02% (рост – на 0,2 %). </w:t>
      </w:r>
    </w:p>
    <w:p w14:paraId="5DF7FE44" w14:textId="77777777" w:rsidR="000A07D3" w:rsidRPr="006B190E" w:rsidRDefault="000A07D3" w:rsidP="000A07D3">
      <w:pPr>
        <w:tabs>
          <w:tab w:val="left" w:pos="1134"/>
        </w:tabs>
        <w:spacing w:after="0" w:line="240" w:lineRule="auto"/>
        <w:ind w:firstLine="720"/>
        <w:contextualSpacing/>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 xml:space="preserve">Исходя из этого, в 2025-2027 годах прогнозируется увеличение налогооблагаемой базы не более чем на 0,3% ежегодно. Это обусловлено тем, что проведенная в 2016-2017 годах работа по выявлению невостребованных земельных долей с последующей регистрацией права муниципальной собственности на эти доли значительно расширило рынок земли. </w:t>
      </w:r>
    </w:p>
    <w:p w14:paraId="27E8462A" w14:textId="0DE25E08" w:rsidR="00B05616" w:rsidRPr="006B190E" w:rsidRDefault="000A07D3" w:rsidP="000A07D3">
      <w:pPr>
        <w:pStyle w:val="a3"/>
        <w:tabs>
          <w:tab w:val="left" w:pos="1134"/>
        </w:tabs>
        <w:spacing w:after="0" w:line="240" w:lineRule="auto"/>
        <w:ind w:left="0" w:firstLine="720"/>
        <w:jc w:val="both"/>
        <w:rPr>
          <w:rFonts w:ascii="Times New Roman" w:hAnsi="Times New Roman" w:cs="Times New Roman"/>
          <w:sz w:val="28"/>
          <w:szCs w:val="28"/>
        </w:rPr>
      </w:pPr>
      <w:r w:rsidRPr="006B190E">
        <w:rPr>
          <w:rFonts w:ascii="Times New Roman" w:eastAsia="Calibri" w:hAnsi="Times New Roman" w:cs="Times New Roman"/>
          <w:sz w:val="28"/>
          <w:szCs w:val="28"/>
        </w:rPr>
        <w:t>В настоящее время работа по оформлению невостребованных земельных долей из земель сельскохозяйственного назначения продолжается. Реализация Федерального закона № 79-ФЗ (гаражная амнистия) не дает оснований ожидать значительного прироста земельных участков, которые будут облагаться земельным налогом из-за их незначительной площади.</w:t>
      </w:r>
    </w:p>
    <w:p w14:paraId="14D87953" w14:textId="77777777" w:rsidR="008273B2" w:rsidRPr="006B190E" w:rsidRDefault="00861DE8" w:rsidP="008273B2">
      <w:pPr>
        <w:pStyle w:val="a3"/>
        <w:tabs>
          <w:tab w:val="left" w:pos="1134"/>
        </w:tabs>
        <w:spacing w:after="0" w:line="240" w:lineRule="auto"/>
        <w:ind w:left="0" w:firstLine="720"/>
        <w:jc w:val="both"/>
        <w:rPr>
          <w:rFonts w:ascii="Times New Roman" w:hAnsi="Times New Roman"/>
          <w:sz w:val="28"/>
          <w:szCs w:val="28"/>
        </w:rPr>
      </w:pPr>
      <w:r w:rsidRPr="006B190E">
        <w:rPr>
          <w:rFonts w:ascii="Times New Roman" w:hAnsi="Times New Roman"/>
          <w:sz w:val="28"/>
          <w:szCs w:val="28"/>
        </w:rPr>
        <w:lastRenderedPageBreak/>
        <w:t xml:space="preserve">5. </w:t>
      </w:r>
      <w:r w:rsidR="008273B2" w:rsidRPr="006B190E">
        <w:rPr>
          <w:rFonts w:ascii="Times New Roman" w:hAnsi="Times New Roman"/>
          <w:sz w:val="28"/>
          <w:szCs w:val="28"/>
        </w:rPr>
        <w:t>Значение показателя № 5 «Доля прибыльных сельскохозяйственных организаций в общем их числе» в 202</w:t>
      </w:r>
      <w:r w:rsidR="00B209EA" w:rsidRPr="006B190E">
        <w:rPr>
          <w:rFonts w:ascii="Times New Roman" w:hAnsi="Times New Roman"/>
          <w:sz w:val="28"/>
          <w:szCs w:val="28"/>
        </w:rPr>
        <w:t>4</w:t>
      </w:r>
      <w:r w:rsidR="008273B2" w:rsidRPr="006B190E">
        <w:rPr>
          <w:rFonts w:ascii="Times New Roman" w:hAnsi="Times New Roman"/>
          <w:sz w:val="28"/>
          <w:szCs w:val="28"/>
        </w:rPr>
        <w:t xml:space="preserve"> году составило 100% в соответствие с запланированным показателем в размере 100%. </w:t>
      </w:r>
    </w:p>
    <w:p w14:paraId="4FB3243E" w14:textId="77777777" w:rsidR="00B410DB" w:rsidRPr="006B190E" w:rsidRDefault="008273B2" w:rsidP="00B410DB">
      <w:pPr>
        <w:pStyle w:val="ab"/>
        <w:ind w:firstLine="709"/>
        <w:jc w:val="both"/>
        <w:rPr>
          <w:rFonts w:ascii="Times New Roman" w:hAnsi="Times New Roman"/>
          <w:color w:val="000000" w:themeColor="text1"/>
          <w:sz w:val="28"/>
          <w:szCs w:val="28"/>
        </w:rPr>
      </w:pPr>
      <w:r w:rsidRPr="006B190E">
        <w:rPr>
          <w:rFonts w:ascii="Times New Roman" w:hAnsi="Times New Roman"/>
          <w:sz w:val="28"/>
          <w:szCs w:val="28"/>
        </w:rPr>
        <w:t xml:space="preserve"> </w:t>
      </w:r>
      <w:r w:rsidR="00B209EA" w:rsidRPr="006B190E">
        <w:rPr>
          <w:rFonts w:ascii="Times New Roman" w:hAnsi="Times New Roman"/>
          <w:color w:val="000000" w:themeColor="text1"/>
          <w:sz w:val="28"/>
          <w:szCs w:val="28"/>
        </w:rPr>
        <w:t>В 2024</w:t>
      </w:r>
      <w:r w:rsidR="00B410DB" w:rsidRPr="006B190E">
        <w:rPr>
          <w:rFonts w:ascii="Times New Roman" w:hAnsi="Times New Roman"/>
          <w:color w:val="000000" w:themeColor="text1"/>
          <w:sz w:val="28"/>
          <w:szCs w:val="28"/>
        </w:rPr>
        <w:t xml:space="preserve"> году осуществляли производственную деятельность ООО «ЖАК», ООО «АПК «Агромир», ООО «Богатырь» и ООО «СПАССКОЕ» имени В.А.Стародубцева.</w:t>
      </w:r>
    </w:p>
    <w:p w14:paraId="2682361E" w14:textId="77777777" w:rsidR="00B410DB" w:rsidRPr="006B190E" w:rsidRDefault="00B410DB" w:rsidP="00B410DB">
      <w:pPr>
        <w:pStyle w:val="ab"/>
        <w:ind w:firstLine="709"/>
        <w:jc w:val="both"/>
        <w:rPr>
          <w:rFonts w:ascii="Times New Roman" w:hAnsi="Times New Roman"/>
          <w:color w:val="000000" w:themeColor="text1"/>
          <w:sz w:val="28"/>
          <w:szCs w:val="28"/>
        </w:rPr>
      </w:pPr>
      <w:r w:rsidRPr="006B190E">
        <w:rPr>
          <w:rFonts w:ascii="Times New Roman" w:hAnsi="Times New Roman"/>
          <w:color w:val="000000" w:themeColor="text1"/>
          <w:sz w:val="28"/>
          <w:szCs w:val="28"/>
        </w:rPr>
        <w:t>Число прибыльных сельско</w:t>
      </w:r>
      <w:r w:rsidR="00B209EA" w:rsidRPr="006B190E">
        <w:rPr>
          <w:rFonts w:ascii="Times New Roman" w:hAnsi="Times New Roman"/>
          <w:color w:val="000000" w:themeColor="text1"/>
          <w:sz w:val="28"/>
          <w:szCs w:val="28"/>
        </w:rPr>
        <w:t>хозяйственных организаций в 2024 году составило – 4. В 2024</w:t>
      </w:r>
      <w:r w:rsidRPr="006B190E">
        <w:rPr>
          <w:rFonts w:ascii="Times New Roman" w:hAnsi="Times New Roman"/>
          <w:color w:val="000000" w:themeColor="text1"/>
          <w:sz w:val="28"/>
          <w:szCs w:val="28"/>
        </w:rPr>
        <w:t xml:space="preserve"> году прибыль получили сельхозорганизации:</w:t>
      </w:r>
    </w:p>
    <w:p w14:paraId="6C62DD56" w14:textId="77777777" w:rsidR="00B410DB" w:rsidRPr="006B190E" w:rsidRDefault="00B410DB" w:rsidP="00B410DB">
      <w:pPr>
        <w:pStyle w:val="ab"/>
        <w:ind w:firstLine="709"/>
        <w:jc w:val="both"/>
        <w:rPr>
          <w:rFonts w:ascii="Times New Roman" w:hAnsi="Times New Roman"/>
          <w:sz w:val="28"/>
          <w:szCs w:val="28"/>
        </w:rPr>
      </w:pPr>
      <w:r w:rsidRPr="006B190E">
        <w:rPr>
          <w:rFonts w:ascii="Times New Roman" w:hAnsi="Times New Roman"/>
          <w:sz w:val="28"/>
          <w:szCs w:val="28"/>
        </w:rPr>
        <w:t xml:space="preserve">1. ООО «СПАССКОЕ» имени В.А.Стародубцева; </w:t>
      </w:r>
    </w:p>
    <w:p w14:paraId="27D20E2D" w14:textId="77777777" w:rsidR="00B410DB" w:rsidRPr="006B190E" w:rsidRDefault="00B410DB" w:rsidP="00B410DB">
      <w:pPr>
        <w:pStyle w:val="ab"/>
        <w:ind w:firstLine="709"/>
        <w:jc w:val="both"/>
        <w:rPr>
          <w:rFonts w:ascii="Times New Roman" w:hAnsi="Times New Roman"/>
          <w:sz w:val="28"/>
          <w:szCs w:val="28"/>
        </w:rPr>
      </w:pPr>
      <w:r w:rsidRPr="006B190E">
        <w:rPr>
          <w:rFonts w:ascii="Times New Roman" w:hAnsi="Times New Roman"/>
          <w:sz w:val="28"/>
          <w:szCs w:val="28"/>
        </w:rPr>
        <w:t>2. ООО АПК «Агромир»;</w:t>
      </w:r>
    </w:p>
    <w:p w14:paraId="40769769" w14:textId="77777777" w:rsidR="00B410DB" w:rsidRPr="006B190E" w:rsidRDefault="00B410DB" w:rsidP="00B410DB">
      <w:pPr>
        <w:pStyle w:val="ab"/>
        <w:ind w:firstLine="709"/>
        <w:jc w:val="both"/>
        <w:rPr>
          <w:rFonts w:ascii="Times New Roman" w:hAnsi="Times New Roman"/>
          <w:sz w:val="28"/>
          <w:szCs w:val="28"/>
        </w:rPr>
      </w:pPr>
      <w:r w:rsidRPr="006B190E">
        <w:rPr>
          <w:rFonts w:ascii="Times New Roman" w:hAnsi="Times New Roman"/>
          <w:sz w:val="28"/>
          <w:szCs w:val="28"/>
        </w:rPr>
        <w:t>3. ООО «Богатырь»;</w:t>
      </w:r>
    </w:p>
    <w:p w14:paraId="209B606D" w14:textId="77777777" w:rsidR="00B410DB" w:rsidRPr="00BE2DF4" w:rsidRDefault="00B410DB" w:rsidP="00B410DB">
      <w:pPr>
        <w:pStyle w:val="ab"/>
        <w:ind w:firstLine="709"/>
        <w:jc w:val="both"/>
        <w:rPr>
          <w:rFonts w:ascii="Times New Roman" w:hAnsi="Times New Roman"/>
          <w:sz w:val="28"/>
          <w:szCs w:val="28"/>
        </w:rPr>
      </w:pPr>
      <w:r w:rsidRPr="00BE2DF4">
        <w:rPr>
          <w:rFonts w:ascii="Times New Roman" w:hAnsi="Times New Roman"/>
          <w:sz w:val="28"/>
          <w:szCs w:val="28"/>
        </w:rPr>
        <w:t>4. ООО «ЖАК»</w:t>
      </w:r>
    </w:p>
    <w:p w14:paraId="03CF01CE" w14:textId="77777777" w:rsidR="00B410DB" w:rsidRPr="00BE2DF4" w:rsidRDefault="00B410DB" w:rsidP="00B410DB">
      <w:pPr>
        <w:pStyle w:val="ab"/>
        <w:ind w:firstLine="709"/>
        <w:jc w:val="both"/>
        <w:rPr>
          <w:rFonts w:ascii="Times New Roman" w:hAnsi="Times New Roman"/>
          <w:sz w:val="28"/>
          <w:szCs w:val="28"/>
        </w:rPr>
      </w:pPr>
      <w:r w:rsidRPr="00BE2DF4">
        <w:rPr>
          <w:rFonts w:ascii="Times New Roman" w:hAnsi="Times New Roman"/>
          <w:sz w:val="28"/>
          <w:szCs w:val="28"/>
        </w:rPr>
        <w:t>Валовая прибыль этих организаций составила 1 </w:t>
      </w:r>
      <w:r w:rsidR="00B209EA" w:rsidRPr="00BE2DF4">
        <w:rPr>
          <w:rFonts w:ascii="Times New Roman" w:hAnsi="Times New Roman"/>
          <w:sz w:val="28"/>
          <w:szCs w:val="28"/>
        </w:rPr>
        <w:t>927</w:t>
      </w:r>
      <w:r w:rsidRPr="00BE2DF4">
        <w:rPr>
          <w:rFonts w:ascii="Times New Roman" w:hAnsi="Times New Roman"/>
          <w:sz w:val="28"/>
          <w:szCs w:val="28"/>
        </w:rPr>
        <w:t xml:space="preserve"> </w:t>
      </w:r>
      <w:r w:rsidR="00B209EA" w:rsidRPr="00BE2DF4">
        <w:rPr>
          <w:rFonts w:ascii="Times New Roman" w:hAnsi="Times New Roman"/>
          <w:sz w:val="28"/>
          <w:szCs w:val="28"/>
        </w:rPr>
        <w:t>404</w:t>
      </w:r>
      <w:r w:rsidR="00822134" w:rsidRPr="00BE2DF4">
        <w:rPr>
          <w:rFonts w:ascii="Times New Roman" w:hAnsi="Times New Roman"/>
          <w:sz w:val="28"/>
          <w:szCs w:val="28"/>
        </w:rPr>
        <w:t xml:space="preserve"> тыс.</w:t>
      </w:r>
      <w:r w:rsidRPr="00BE2DF4">
        <w:rPr>
          <w:rFonts w:ascii="Times New Roman" w:hAnsi="Times New Roman"/>
          <w:sz w:val="28"/>
          <w:szCs w:val="28"/>
        </w:rPr>
        <w:t xml:space="preserve"> рублей.</w:t>
      </w:r>
    </w:p>
    <w:p w14:paraId="3784E4E6" w14:textId="77777777" w:rsidR="00B410DB" w:rsidRPr="00BE2DF4" w:rsidRDefault="00B410DB" w:rsidP="00B410DB">
      <w:pPr>
        <w:pStyle w:val="ab"/>
        <w:ind w:firstLine="709"/>
        <w:jc w:val="both"/>
        <w:rPr>
          <w:rFonts w:ascii="Times New Roman" w:hAnsi="Times New Roman"/>
          <w:sz w:val="28"/>
          <w:szCs w:val="28"/>
        </w:rPr>
      </w:pPr>
      <w:r w:rsidRPr="00BE2DF4">
        <w:rPr>
          <w:rFonts w:ascii="Times New Roman" w:hAnsi="Times New Roman"/>
          <w:sz w:val="28"/>
          <w:szCs w:val="28"/>
        </w:rPr>
        <w:t>Сумма чистой прибыли этих сел</w:t>
      </w:r>
      <w:r w:rsidR="00B209EA" w:rsidRPr="00BE2DF4">
        <w:rPr>
          <w:rFonts w:ascii="Times New Roman" w:hAnsi="Times New Roman"/>
          <w:sz w:val="28"/>
          <w:szCs w:val="28"/>
        </w:rPr>
        <w:t>ьхозорганизаций составила в 2024</w:t>
      </w:r>
      <w:r w:rsidRPr="00BE2DF4">
        <w:rPr>
          <w:rFonts w:ascii="Times New Roman" w:hAnsi="Times New Roman"/>
          <w:sz w:val="28"/>
          <w:szCs w:val="28"/>
        </w:rPr>
        <w:t xml:space="preserve"> году          + </w:t>
      </w:r>
      <w:r w:rsidR="00B209EA" w:rsidRPr="00BE2DF4">
        <w:rPr>
          <w:rFonts w:ascii="Times New Roman" w:hAnsi="Times New Roman"/>
          <w:sz w:val="28"/>
          <w:szCs w:val="28"/>
        </w:rPr>
        <w:t>1 317</w:t>
      </w:r>
      <w:r w:rsidRPr="00BE2DF4">
        <w:rPr>
          <w:rFonts w:ascii="Times New Roman" w:hAnsi="Times New Roman"/>
          <w:sz w:val="28"/>
          <w:szCs w:val="28"/>
        </w:rPr>
        <w:t xml:space="preserve"> </w:t>
      </w:r>
      <w:r w:rsidR="00B209EA" w:rsidRPr="00BE2DF4">
        <w:rPr>
          <w:rFonts w:ascii="Times New Roman" w:hAnsi="Times New Roman"/>
          <w:sz w:val="28"/>
          <w:szCs w:val="28"/>
        </w:rPr>
        <w:t>902</w:t>
      </w:r>
      <w:r w:rsidR="00822134" w:rsidRPr="00BE2DF4">
        <w:rPr>
          <w:rFonts w:ascii="Times New Roman" w:hAnsi="Times New Roman"/>
          <w:sz w:val="28"/>
          <w:szCs w:val="28"/>
        </w:rPr>
        <w:t xml:space="preserve"> тыс.</w:t>
      </w:r>
      <w:r w:rsidRPr="00BE2DF4">
        <w:rPr>
          <w:rFonts w:ascii="Times New Roman" w:hAnsi="Times New Roman"/>
          <w:sz w:val="28"/>
          <w:szCs w:val="28"/>
        </w:rPr>
        <w:t xml:space="preserve"> рублей.</w:t>
      </w:r>
    </w:p>
    <w:p w14:paraId="004E13B7" w14:textId="77777777" w:rsidR="001A735B" w:rsidRPr="006B190E" w:rsidRDefault="00B410DB" w:rsidP="00B410DB">
      <w:pPr>
        <w:pStyle w:val="a3"/>
        <w:tabs>
          <w:tab w:val="left" w:pos="1134"/>
        </w:tabs>
        <w:spacing w:after="0" w:line="240" w:lineRule="auto"/>
        <w:ind w:left="0" w:firstLine="709"/>
        <w:jc w:val="both"/>
        <w:rPr>
          <w:rFonts w:ascii="Times New Roman" w:hAnsi="Times New Roman"/>
          <w:sz w:val="28"/>
          <w:szCs w:val="28"/>
        </w:rPr>
      </w:pPr>
      <w:r w:rsidRPr="00BE2DF4">
        <w:rPr>
          <w:rFonts w:ascii="Times New Roman" w:hAnsi="Times New Roman" w:cs="Times New Roman"/>
          <w:sz w:val="28"/>
          <w:szCs w:val="28"/>
        </w:rPr>
        <w:t>Планируемое число приб</w:t>
      </w:r>
      <w:r w:rsidR="00B209EA" w:rsidRPr="00BE2DF4">
        <w:rPr>
          <w:rFonts w:ascii="Times New Roman" w:hAnsi="Times New Roman" w:cs="Times New Roman"/>
          <w:sz w:val="28"/>
          <w:szCs w:val="28"/>
        </w:rPr>
        <w:t>ыльных сельхозорганизаций</w:t>
      </w:r>
      <w:r w:rsidR="00B209EA" w:rsidRPr="006B190E">
        <w:rPr>
          <w:rFonts w:ascii="Times New Roman" w:hAnsi="Times New Roman" w:cs="Times New Roman"/>
          <w:sz w:val="28"/>
          <w:szCs w:val="28"/>
        </w:rPr>
        <w:t xml:space="preserve"> в 2025</w:t>
      </w:r>
      <w:r w:rsidRPr="006B190E">
        <w:rPr>
          <w:rFonts w:ascii="Times New Roman" w:hAnsi="Times New Roman" w:cs="Times New Roman"/>
          <w:sz w:val="28"/>
          <w:szCs w:val="28"/>
        </w:rPr>
        <w:t xml:space="preserve"> году сохранится на уров</w:t>
      </w:r>
      <w:r w:rsidR="00B209EA" w:rsidRPr="006B190E">
        <w:rPr>
          <w:rFonts w:ascii="Times New Roman" w:hAnsi="Times New Roman" w:cs="Times New Roman"/>
          <w:sz w:val="28"/>
          <w:szCs w:val="28"/>
        </w:rPr>
        <w:t>не 2024</w:t>
      </w:r>
      <w:r w:rsidRPr="006B190E">
        <w:rPr>
          <w:rFonts w:ascii="Times New Roman" w:hAnsi="Times New Roman" w:cs="Times New Roman"/>
          <w:sz w:val="28"/>
          <w:szCs w:val="28"/>
        </w:rPr>
        <w:t xml:space="preserve"> г</w:t>
      </w:r>
      <w:r w:rsidR="00B209EA" w:rsidRPr="006B190E">
        <w:rPr>
          <w:rFonts w:ascii="Times New Roman" w:hAnsi="Times New Roman" w:cs="Times New Roman"/>
          <w:sz w:val="28"/>
          <w:szCs w:val="28"/>
        </w:rPr>
        <w:t>ода и составит 4 единицы. В 2026-2027</w:t>
      </w:r>
      <w:r w:rsidRPr="006B190E">
        <w:rPr>
          <w:rFonts w:ascii="Times New Roman" w:hAnsi="Times New Roman" w:cs="Times New Roman"/>
          <w:sz w:val="28"/>
          <w:szCs w:val="28"/>
        </w:rPr>
        <w:t xml:space="preserve"> годах планируемая доля прибыльных сельхозорганизаций составит 100%.</w:t>
      </w:r>
    </w:p>
    <w:p w14:paraId="4E5703E2" w14:textId="77777777" w:rsidR="008273B2" w:rsidRPr="006B190E" w:rsidRDefault="002A5A3A" w:rsidP="00312C4D">
      <w:pPr>
        <w:pStyle w:val="ab"/>
        <w:ind w:firstLine="709"/>
        <w:jc w:val="both"/>
        <w:rPr>
          <w:rFonts w:ascii="Times New Roman" w:hAnsi="Times New Roman"/>
          <w:sz w:val="28"/>
          <w:szCs w:val="28"/>
        </w:rPr>
      </w:pPr>
      <w:r w:rsidRPr="006B190E">
        <w:rPr>
          <w:rFonts w:ascii="Times New Roman" w:hAnsi="Times New Roman"/>
          <w:sz w:val="28"/>
          <w:szCs w:val="28"/>
        </w:rPr>
        <w:t>6</w:t>
      </w:r>
      <w:r w:rsidR="002212FF" w:rsidRPr="006B190E">
        <w:rPr>
          <w:rFonts w:ascii="Times New Roman" w:hAnsi="Times New Roman"/>
          <w:sz w:val="28"/>
          <w:szCs w:val="28"/>
        </w:rPr>
        <w:t xml:space="preserve">. </w:t>
      </w:r>
      <w:r w:rsidR="008273B2" w:rsidRPr="006B190E">
        <w:rPr>
          <w:rFonts w:ascii="Times New Roman" w:hAnsi="Times New Roman"/>
          <w:sz w:val="28"/>
          <w:szCs w:val="28"/>
        </w:rPr>
        <w:t>По состоянию на начало 202</w:t>
      </w:r>
      <w:r w:rsidR="00312C4D" w:rsidRPr="006B190E">
        <w:rPr>
          <w:rFonts w:ascii="Times New Roman" w:hAnsi="Times New Roman"/>
          <w:sz w:val="28"/>
          <w:szCs w:val="28"/>
        </w:rPr>
        <w:t>4</w:t>
      </w:r>
      <w:r w:rsidR="008273B2" w:rsidRPr="006B190E">
        <w:rPr>
          <w:rFonts w:ascii="Times New Roman" w:hAnsi="Times New Roman"/>
          <w:sz w:val="28"/>
          <w:szCs w:val="28"/>
        </w:rPr>
        <w:t xml:space="preserve">г.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составляла </w:t>
      </w:r>
      <w:r w:rsidR="00B410DB" w:rsidRPr="006B190E">
        <w:rPr>
          <w:rFonts w:ascii="Times New Roman" w:hAnsi="Times New Roman"/>
          <w:sz w:val="28"/>
          <w:szCs w:val="28"/>
        </w:rPr>
        <w:t>1</w:t>
      </w:r>
      <w:r w:rsidR="0015104D" w:rsidRPr="006B190E">
        <w:rPr>
          <w:rFonts w:ascii="Times New Roman" w:hAnsi="Times New Roman"/>
          <w:sz w:val="28"/>
          <w:szCs w:val="28"/>
        </w:rPr>
        <w:t>6</w:t>
      </w:r>
      <w:r w:rsidR="008273B2" w:rsidRPr="006B190E">
        <w:rPr>
          <w:rFonts w:ascii="Times New Roman" w:hAnsi="Times New Roman"/>
          <w:sz w:val="28"/>
          <w:szCs w:val="28"/>
        </w:rPr>
        <w:t xml:space="preserve">% или </w:t>
      </w:r>
      <w:r w:rsidR="0015104D" w:rsidRPr="006B190E">
        <w:rPr>
          <w:rFonts w:ascii="Times New Roman" w:hAnsi="Times New Roman"/>
          <w:sz w:val="28"/>
          <w:szCs w:val="28"/>
        </w:rPr>
        <w:t>69,6</w:t>
      </w:r>
      <w:r w:rsidR="008273B2" w:rsidRPr="006B190E">
        <w:rPr>
          <w:rFonts w:ascii="Times New Roman" w:hAnsi="Times New Roman"/>
          <w:sz w:val="28"/>
          <w:szCs w:val="28"/>
        </w:rPr>
        <w:t xml:space="preserve"> км. (Общая протяженность автомобильных дорог МО – 435 км).</w:t>
      </w:r>
    </w:p>
    <w:p w14:paraId="7B3CDBFA" w14:textId="77777777" w:rsidR="003900C9" w:rsidRPr="006B190E" w:rsidRDefault="003900C9" w:rsidP="003900C9">
      <w:pPr>
        <w:pStyle w:val="ab"/>
        <w:ind w:firstLine="709"/>
        <w:jc w:val="both"/>
        <w:rPr>
          <w:sz w:val="28"/>
          <w:szCs w:val="28"/>
        </w:rPr>
      </w:pPr>
      <w:r w:rsidRPr="006B190E">
        <w:rPr>
          <w:rFonts w:ascii="Times New Roman" w:hAnsi="Times New Roman"/>
          <w:sz w:val="28"/>
          <w:szCs w:val="28"/>
        </w:rPr>
        <w:t>В 2024 г. планируются ремонтные работы дорог протяженностью 1,64 км, в 2025 г. - 2,1 км, в 2026</w:t>
      </w:r>
      <w:r w:rsidRPr="006B190E">
        <w:rPr>
          <w:sz w:val="28"/>
          <w:szCs w:val="28"/>
        </w:rPr>
        <w:t xml:space="preserve"> </w:t>
      </w:r>
      <w:r w:rsidRPr="006B190E">
        <w:rPr>
          <w:rFonts w:ascii="Times New Roman" w:hAnsi="Times New Roman"/>
          <w:sz w:val="28"/>
          <w:szCs w:val="28"/>
        </w:rPr>
        <w:t xml:space="preserve">г </w:t>
      </w:r>
      <w:r w:rsidRPr="006B190E">
        <w:rPr>
          <w:sz w:val="28"/>
          <w:szCs w:val="28"/>
        </w:rPr>
        <w:t xml:space="preserve">- </w:t>
      </w:r>
      <w:r w:rsidRPr="006B190E">
        <w:rPr>
          <w:rFonts w:ascii="Times New Roman" w:hAnsi="Times New Roman"/>
          <w:sz w:val="28"/>
          <w:szCs w:val="28"/>
        </w:rPr>
        <w:t>не менее 1,5</w:t>
      </w:r>
      <w:r w:rsidRPr="006B190E">
        <w:rPr>
          <w:sz w:val="28"/>
          <w:szCs w:val="28"/>
        </w:rPr>
        <w:t xml:space="preserve"> </w:t>
      </w:r>
      <w:r w:rsidRPr="006B190E">
        <w:rPr>
          <w:rFonts w:ascii="Times New Roman" w:hAnsi="Times New Roman"/>
          <w:sz w:val="28"/>
          <w:szCs w:val="28"/>
        </w:rPr>
        <w:t>км.</w:t>
      </w:r>
    </w:p>
    <w:p w14:paraId="68CFFD1B" w14:textId="77777777" w:rsidR="00884E98" w:rsidRPr="006B190E" w:rsidRDefault="002A5A3A" w:rsidP="003900C9">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 xml:space="preserve">7. </w:t>
      </w:r>
      <w:r w:rsidR="00BC6E80" w:rsidRPr="006B190E">
        <w:rPr>
          <w:sz w:val="28"/>
          <w:szCs w:val="28"/>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 составляет 0%.</w:t>
      </w:r>
    </w:p>
    <w:p w14:paraId="0E2DD53F" w14:textId="4FFFA9AD" w:rsidR="00E27335" w:rsidRPr="006B190E" w:rsidRDefault="00F15E1F" w:rsidP="00AD741B">
      <w:pPr>
        <w:tabs>
          <w:tab w:val="left" w:pos="1134"/>
        </w:tabs>
        <w:spacing w:after="0" w:line="240" w:lineRule="auto"/>
        <w:ind w:firstLine="708"/>
        <w:jc w:val="both"/>
        <w:rPr>
          <w:rFonts w:ascii="Times New Roman" w:hAnsi="Times New Roman" w:cs="Times New Roman"/>
          <w:sz w:val="28"/>
          <w:szCs w:val="28"/>
        </w:rPr>
      </w:pPr>
      <w:r w:rsidRPr="006B190E">
        <w:rPr>
          <w:rFonts w:ascii="Times New Roman" w:hAnsi="Times New Roman" w:cs="Times New Roman"/>
          <w:sz w:val="28"/>
          <w:szCs w:val="28"/>
        </w:rPr>
        <w:t>8.</w:t>
      </w:r>
      <w:r w:rsidR="00E16940" w:rsidRPr="006B190E">
        <w:rPr>
          <w:rFonts w:ascii="Times New Roman" w:hAnsi="Times New Roman" w:cs="Times New Roman"/>
          <w:sz w:val="28"/>
          <w:szCs w:val="28"/>
        </w:rPr>
        <w:t xml:space="preserve"> </w:t>
      </w:r>
      <w:r w:rsidR="00067355" w:rsidRPr="006B190E">
        <w:rPr>
          <w:rFonts w:ascii="Times New Roman" w:hAnsi="Times New Roman" w:cs="Times New Roman"/>
          <w:sz w:val="28"/>
          <w:szCs w:val="28"/>
        </w:rPr>
        <w:t>Среднемесячная номинальная начисленная заработная плата работников крупных и средних предприятий и некоммерческих организаций в 20</w:t>
      </w:r>
      <w:r w:rsidR="00545922" w:rsidRPr="006B190E">
        <w:rPr>
          <w:rFonts w:ascii="Times New Roman" w:hAnsi="Times New Roman" w:cs="Times New Roman"/>
          <w:sz w:val="28"/>
          <w:szCs w:val="28"/>
        </w:rPr>
        <w:t>2</w:t>
      </w:r>
      <w:r w:rsidR="00AD341F" w:rsidRPr="006B190E">
        <w:rPr>
          <w:rFonts w:ascii="Times New Roman" w:hAnsi="Times New Roman" w:cs="Times New Roman"/>
          <w:sz w:val="28"/>
          <w:szCs w:val="28"/>
        </w:rPr>
        <w:t>4</w:t>
      </w:r>
      <w:r w:rsidR="00067355" w:rsidRPr="006B190E">
        <w:rPr>
          <w:rFonts w:ascii="Times New Roman" w:hAnsi="Times New Roman" w:cs="Times New Roman"/>
          <w:sz w:val="28"/>
          <w:szCs w:val="28"/>
        </w:rPr>
        <w:t xml:space="preserve"> году составила </w:t>
      </w:r>
      <w:r w:rsidR="00AD341F" w:rsidRPr="006B190E">
        <w:rPr>
          <w:rFonts w:ascii="Times New Roman" w:hAnsi="Times New Roman" w:cs="Times New Roman"/>
          <w:sz w:val="28"/>
          <w:szCs w:val="28"/>
        </w:rPr>
        <w:t>80775,1</w:t>
      </w:r>
      <w:r w:rsidR="00067355" w:rsidRPr="006B190E">
        <w:rPr>
          <w:rFonts w:ascii="Times New Roman" w:hAnsi="Times New Roman" w:cs="Times New Roman"/>
          <w:sz w:val="28"/>
          <w:szCs w:val="28"/>
        </w:rPr>
        <w:t xml:space="preserve"> рубля, что на </w:t>
      </w:r>
      <w:r w:rsidR="00AD341F" w:rsidRPr="006B190E">
        <w:rPr>
          <w:rFonts w:ascii="Times New Roman" w:hAnsi="Times New Roman" w:cs="Times New Roman"/>
          <w:sz w:val="28"/>
          <w:szCs w:val="28"/>
        </w:rPr>
        <w:t>23</w:t>
      </w:r>
      <w:r w:rsidR="003900C9" w:rsidRPr="006B190E">
        <w:rPr>
          <w:rFonts w:ascii="Times New Roman" w:hAnsi="Times New Roman" w:cs="Times New Roman"/>
          <w:sz w:val="28"/>
          <w:szCs w:val="28"/>
        </w:rPr>
        <w:t>,</w:t>
      </w:r>
      <w:r w:rsidR="00AD341F" w:rsidRPr="006B190E">
        <w:rPr>
          <w:rFonts w:ascii="Times New Roman" w:hAnsi="Times New Roman" w:cs="Times New Roman"/>
          <w:sz w:val="28"/>
          <w:szCs w:val="28"/>
        </w:rPr>
        <w:t>2</w:t>
      </w:r>
      <w:r w:rsidR="00067355" w:rsidRPr="006B190E">
        <w:rPr>
          <w:rFonts w:ascii="Times New Roman" w:hAnsi="Times New Roman" w:cs="Times New Roman"/>
          <w:sz w:val="28"/>
          <w:szCs w:val="28"/>
        </w:rPr>
        <w:t>% выше уровня 20</w:t>
      </w:r>
      <w:r w:rsidR="00770F04" w:rsidRPr="006B190E">
        <w:rPr>
          <w:rFonts w:ascii="Times New Roman" w:hAnsi="Times New Roman" w:cs="Times New Roman"/>
          <w:sz w:val="28"/>
          <w:szCs w:val="28"/>
        </w:rPr>
        <w:t>2</w:t>
      </w:r>
      <w:r w:rsidR="00AD341F" w:rsidRPr="006B190E">
        <w:rPr>
          <w:rFonts w:ascii="Times New Roman" w:hAnsi="Times New Roman" w:cs="Times New Roman"/>
          <w:sz w:val="28"/>
          <w:szCs w:val="28"/>
        </w:rPr>
        <w:t>3</w:t>
      </w:r>
      <w:r w:rsidR="00067355" w:rsidRPr="006B190E">
        <w:rPr>
          <w:rFonts w:ascii="Times New Roman" w:hAnsi="Times New Roman" w:cs="Times New Roman"/>
          <w:sz w:val="28"/>
          <w:szCs w:val="28"/>
        </w:rPr>
        <w:t xml:space="preserve"> года.</w:t>
      </w:r>
    </w:p>
    <w:p w14:paraId="0F5A7C99" w14:textId="5F0F5875" w:rsidR="00E16940" w:rsidRPr="006B190E" w:rsidRDefault="00082F72" w:rsidP="00AD741B">
      <w:pPr>
        <w:pStyle w:val="a8"/>
        <w:spacing w:before="0" w:after="0"/>
        <w:ind w:firstLine="851"/>
        <w:jc w:val="both"/>
        <w:rPr>
          <w:rFonts w:eastAsiaTheme="minorHAnsi"/>
          <w:sz w:val="28"/>
          <w:szCs w:val="28"/>
          <w:lang w:eastAsia="en-US"/>
        </w:rPr>
      </w:pPr>
      <w:r w:rsidRPr="006B190E">
        <w:rPr>
          <w:rFonts w:eastAsiaTheme="minorHAnsi"/>
          <w:sz w:val="28"/>
          <w:szCs w:val="28"/>
          <w:lang w:eastAsia="en-US"/>
        </w:rPr>
        <w:t xml:space="preserve">По среднемесячной номинальной начисленной заработной плате работников в разрезе </w:t>
      </w:r>
      <w:r w:rsidR="00E27335" w:rsidRPr="006B190E">
        <w:rPr>
          <w:rFonts w:eastAsiaTheme="minorHAnsi"/>
          <w:sz w:val="28"/>
          <w:szCs w:val="28"/>
          <w:lang w:eastAsia="en-US"/>
        </w:rPr>
        <w:t xml:space="preserve">работников муниципальных дошкольных образовательных и общеобразовательных учреждений, </w:t>
      </w:r>
      <w:r w:rsidRPr="006B190E">
        <w:rPr>
          <w:rFonts w:eastAsiaTheme="minorHAnsi"/>
          <w:sz w:val="28"/>
          <w:szCs w:val="28"/>
          <w:lang w:eastAsia="en-US"/>
        </w:rPr>
        <w:t>учителей муниципальных общеобразовательных учреждений</w:t>
      </w:r>
      <w:r w:rsidR="00E27335" w:rsidRPr="006B190E">
        <w:rPr>
          <w:rFonts w:eastAsiaTheme="minorHAnsi"/>
          <w:sz w:val="28"/>
          <w:szCs w:val="28"/>
          <w:lang w:eastAsia="en-US"/>
        </w:rPr>
        <w:t xml:space="preserve">, работников муниципальных учреждений культуры и искусства, работников </w:t>
      </w:r>
      <w:r w:rsidR="00067355" w:rsidRPr="006B190E">
        <w:rPr>
          <w:rFonts w:eastAsiaTheme="minorHAnsi"/>
          <w:sz w:val="28"/>
          <w:szCs w:val="28"/>
          <w:lang w:eastAsia="en-US"/>
        </w:rPr>
        <w:t>муниципальных учреждений физической культуры и спорта</w:t>
      </w:r>
      <w:r w:rsidRPr="006B190E">
        <w:rPr>
          <w:rFonts w:eastAsiaTheme="minorHAnsi"/>
          <w:sz w:val="28"/>
          <w:szCs w:val="28"/>
          <w:lang w:eastAsia="en-US"/>
        </w:rPr>
        <w:t xml:space="preserve"> в 20</w:t>
      </w:r>
      <w:r w:rsidR="00AD341F" w:rsidRPr="006B190E">
        <w:rPr>
          <w:rFonts w:eastAsiaTheme="minorHAnsi"/>
          <w:sz w:val="28"/>
          <w:szCs w:val="28"/>
          <w:lang w:eastAsia="en-US"/>
        </w:rPr>
        <w:t>24</w:t>
      </w:r>
      <w:r w:rsidRPr="006B190E">
        <w:rPr>
          <w:rFonts w:eastAsiaTheme="minorHAnsi"/>
          <w:sz w:val="28"/>
          <w:szCs w:val="28"/>
          <w:lang w:eastAsia="en-US"/>
        </w:rPr>
        <w:t xml:space="preserve"> году показатель выполнен в рамках Указа Президента Российской Федерации от 07.05.2012 № 597.</w:t>
      </w:r>
    </w:p>
    <w:p w14:paraId="1D6AC197" w14:textId="77777777" w:rsidR="001F31F2" w:rsidRPr="006B190E" w:rsidRDefault="001F31F2" w:rsidP="00AD741B">
      <w:pPr>
        <w:pStyle w:val="a8"/>
        <w:spacing w:before="0" w:after="0"/>
        <w:jc w:val="center"/>
        <w:rPr>
          <w:rFonts w:eastAsia="Calibri"/>
          <w:sz w:val="28"/>
          <w:szCs w:val="28"/>
          <w:lang w:eastAsia="en-US"/>
        </w:rPr>
      </w:pPr>
    </w:p>
    <w:p w14:paraId="239186B0" w14:textId="77777777" w:rsidR="00C3575A" w:rsidRPr="006B190E" w:rsidRDefault="00C10C5A" w:rsidP="00AD741B">
      <w:pPr>
        <w:pStyle w:val="a8"/>
        <w:spacing w:before="0" w:after="0"/>
        <w:jc w:val="center"/>
        <w:rPr>
          <w:rFonts w:eastAsia="Calibri"/>
          <w:b/>
          <w:sz w:val="28"/>
          <w:szCs w:val="28"/>
          <w:lang w:eastAsia="en-US"/>
        </w:rPr>
      </w:pPr>
      <w:r w:rsidRPr="006B190E">
        <w:rPr>
          <w:rFonts w:eastAsia="Calibri"/>
          <w:b/>
          <w:sz w:val="28"/>
          <w:szCs w:val="28"/>
          <w:lang w:val="en-US" w:eastAsia="en-US"/>
        </w:rPr>
        <w:t>II</w:t>
      </w:r>
      <w:r w:rsidRPr="006B190E">
        <w:rPr>
          <w:rFonts w:eastAsia="Calibri"/>
          <w:b/>
          <w:sz w:val="28"/>
          <w:szCs w:val="28"/>
          <w:lang w:eastAsia="en-US"/>
        </w:rPr>
        <w:t xml:space="preserve">. </w:t>
      </w:r>
      <w:r w:rsidR="001F31F2" w:rsidRPr="006B190E">
        <w:rPr>
          <w:rFonts w:eastAsia="Calibri"/>
          <w:b/>
          <w:sz w:val="28"/>
          <w:szCs w:val="28"/>
          <w:lang w:eastAsia="en-US"/>
        </w:rPr>
        <w:t>Дошкольное образование</w:t>
      </w:r>
    </w:p>
    <w:p w14:paraId="20E8D6B2" w14:textId="1924CBAC" w:rsidR="00F80C2F" w:rsidRPr="006B190E" w:rsidRDefault="00C3575A" w:rsidP="00F80C2F">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 xml:space="preserve">9. </w:t>
      </w:r>
      <w:r w:rsidR="001D02C0" w:rsidRPr="006B190E">
        <w:rPr>
          <w:rFonts w:eastAsiaTheme="minorHAnsi"/>
          <w:sz w:val="28"/>
          <w:szCs w:val="28"/>
          <w:lang w:eastAsia="en-US"/>
        </w:rPr>
        <w:t>Показатель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за 202</w:t>
      </w:r>
      <w:r w:rsidR="003631D7" w:rsidRPr="006B190E">
        <w:rPr>
          <w:rFonts w:eastAsiaTheme="minorHAnsi"/>
          <w:sz w:val="28"/>
          <w:szCs w:val="28"/>
          <w:lang w:eastAsia="en-US"/>
        </w:rPr>
        <w:t>4</w:t>
      </w:r>
      <w:r w:rsidR="001D02C0" w:rsidRPr="006B190E">
        <w:rPr>
          <w:rFonts w:eastAsiaTheme="minorHAnsi"/>
          <w:sz w:val="28"/>
          <w:szCs w:val="28"/>
          <w:lang w:eastAsia="en-US"/>
        </w:rPr>
        <w:t xml:space="preserve"> год составляет </w:t>
      </w:r>
      <w:r w:rsidR="003631D7" w:rsidRPr="006B190E">
        <w:rPr>
          <w:rFonts w:eastAsiaTheme="minorHAnsi"/>
          <w:sz w:val="28"/>
          <w:szCs w:val="28"/>
          <w:lang w:eastAsia="en-US"/>
        </w:rPr>
        <w:t>82,7</w:t>
      </w:r>
      <w:r w:rsidR="001D02C0" w:rsidRPr="006B190E">
        <w:rPr>
          <w:rFonts w:eastAsiaTheme="minorHAnsi"/>
          <w:sz w:val="28"/>
          <w:szCs w:val="28"/>
          <w:lang w:eastAsia="en-US"/>
        </w:rPr>
        <w:t xml:space="preserve">%, что на </w:t>
      </w:r>
      <w:r w:rsidR="003631D7" w:rsidRPr="006B190E">
        <w:rPr>
          <w:rFonts w:eastAsiaTheme="minorHAnsi"/>
          <w:sz w:val="28"/>
          <w:szCs w:val="28"/>
          <w:lang w:eastAsia="en-US"/>
        </w:rPr>
        <w:t>1,8</w:t>
      </w:r>
      <w:r w:rsidR="001D02C0" w:rsidRPr="006B190E">
        <w:rPr>
          <w:rFonts w:eastAsiaTheme="minorHAnsi"/>
          <w:sz w:val="28"/>
          <w:szCs w:val="28"/>
          <w:lang w:eastAsia="en-US"/>
        </w:rPr>
        <w:t>% больше, чем за 202</w:t>
      </w:r>
      <w:r w:rsidR="003631D7" w:rsidRPr="006B190E">
        <w:rPr>
          <w:rFonts w:eastAsiaTheme="minorHAnsi"/>
          <w:sz w:val="28"/>
          <w:szCs w:val="28"/>
          <w:lang w:eastAsia="en-US"/>
        </w:rPr>
        <w:t>3</w:t>
      </w:r>
      <w:r w:rsidR="001D02C0" w:rsidRPr="006B190E">
        <w:rPr>
          <w:rFonts w:eastAsiaTheme="minorHAnsi"/>
          <w:sz w:val="28"/>
          <w:szCs w:val="28"/>
          <w:lang w:eastAsia="en-US"/>
        </w:rPr>
        <w:t xml:space="preserve">г. По </w:t>
      </w:r>
      <w:r w:rsidR="001D02C0" w:rsidRPr="006B190E">
        <w:rPr>
          <w:rFonts w:eastAsiaTheme="minorHAnsi"/>
          <w:sz w:val="28"/>
          <w:szCs w:val="28"/>
          <w:lang w:eastAsia="en-US"/>
        </w:rPr>
        <w:lastRenderedPageBreak/>
        <w:t>предварительному анализу очередности</w:t>
      </w:r>
      <w:r w:rsidR="003631D7" w:rsidRPr="006B190E">
        <w:rPr>
          <w:rFonts w:eastAsiaTheme="minorHAnsi"/>
          <w:sz w:val="28"/>
          <w:szCs w:val="28"/>
          <w:lang w:eastAsia="en-US"/>
        </w:rPr>
        <w:t xml:space="preserve"> вышеуказанный показатель в 2025, 2026 и 2027</w:t>
      </w:r>
      <w:r w:rsidR="001D02C0" w:rsidRPr="006B190E">
        <w:rPr>
          <w:rFonts w:eastAsiaTheme="minorHAnsi"/>
          <w:sz w:val="28"/>
          <w:szCs w:val="28"/>
          <w:lang w:eastAsia="en-US"/>
        </w:rPr>
        <w:t xml:space="preserve"> годах останется на таком же уровне – </w:t>
      </w:r>
      <w:r w:rsidR="003631D7" w:rsidRPr="006B190E">
        <w:rPr>
          <w:rFonts w:eastAsiaTheme="minorHAnsi"/>
          <w:sz w:val="28"/>
          <w:szCs w:val="28"/>
          <w:lang w:eastAsia="en-US"/>
        </w:rPr>
        <w:t>82</w:t>
      </w:r>
      <w:r w:rsidR="00AE329E" w:rsidRPr="006B190E">
        <w:rPr>
          <w:rFonts w:eastAsiaTheme="minorHAnsi"/>
          <w:sz w:val="28"/>
          <w:szCs w:val="28"/>
          <w:lang w:eastAsia="en-US"/>
        </w:rPr>
        <w:t>,</w:t>
      </w:r>
      <w:r w:rsidR="003631D7" w:rsidRPr="006B190E">
        <w:rPr>
          <w:rFonts w:eastAsiaTheme="minorHAnsi"/>
          <w:sz w:val="28"/>
          <w:szCs w:val="28"/>
          <w:lang w:eastAsia="en-US"/>
        </w:rPr>
        <w:t>7</w:t>
      </w:r>
      <w:r w:rsidR="001D02C0" w:rsidRPr="006B190E">
        <w:rPr>
          <w:rFonts w:eastAsiaTheme="minorHAnsi"/>
          <w:sz w:val="28"/>
          <w:szCs w:val="28"/>
          <w:lang w:eastAsia="en-US"/>
        </w:rPr>
        <w:t xml:space="preserve">%. </w:t>
      </w:r>
      <w:r w:rsidR="00F80C2F" w:rsidRPr="006B190E">
        <w:rPr>
          <w:rFonts w:eastAsiaTheme="minorHAnsi"/>
          <w:sz w:val="28"/>
          <w:szCs w:val="28"/>
          <w:lang w:eastAsia="en-US"/>
        </w:rPr>
        <w:t xml:space="preserve"> </w:t>
      </w:r>
    </w:p>
    <w:p w14:paraId="1F812C74" w14:textId="2BBA365D" w:rsidR="00F80C2F" w:rsidRPr="006B190E" w:rsidRDefault="00F80C2F" w:rsidP="00F80C2F">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 xml:space="preserve">10. </w:t>
      </w:r>
      <w:r w:rsidR="00E65D67" w:rsidRPr="006B190E">
        <w:rPr>
          <w:rFonts w:eastAsiaTheme="minorHAnsi"/>
          <w:sz w:val="28"/>
          <w:szCs w:val="28"/>
          <w:lang w:eastAsia="en-US"/>
        </w:rPr>
        <w:t>Показатель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w:t>
      </w:r>
      <w:r w:rsidR="003631D7" w:rsidRPr="006B190E">
        <w:rPr>
          <w:rFonts w:eastAsiaTheme="minorHAnsi"/>
          <w:sz w:val="28"/>
          <w:szCs w:val="28"/>
          <w:lang w:eastAsia="en-US"/>
        </w:rPr>
        <w:t xml:space="preserve"> 1 - 6 лет» составляет 0. В 2025</w:t>
      </w:r>
      <w:r w:rsidR="00E65D67" w:rsidRPr="006B190E">
        <w:rPr>
          <w:rFonts w:eastAsiaTheme="minorHAnsi"/>
          <w:sz w:val="28"/>
          <w:szCs w:val="28"/>
          <w:lang w:eastAsia="en-US"/>
        </w:rPr>
        <w:t>,202</w:t>
      </w:r>
      <w:r w:rsidR="003631D7" w:rsidRPr="006B190E">
        <w:rPr>
          <w:rFonts w:eastAsiaTheme="minorHAnsi"/>
          <w:sz w:val="28"/>
          <w:szCs w:val="28"/>
          <w:lang w:eastAsia="en-US"/>
        </w:rPr>
        <w:t>6</w:t>
      </w:r>
      <w:r w:rsidR="00E65D67" w:rsidRPr="006B190E">
        <w:rPr>
          <w:rFonts w:eastAsiaTheme="minorHAnsi"/>
          <w:sz w:val="28"/>
          <w:szCs w:val="28"/>
          <w:lang w:eastAsia="en-US"/>
        </w:rPr>
        <w:t xml:space="preserve"> и 202</w:t>
      </w:r>
      <w:r w:rsidR="003631D7" w:rsidRPr="006B190E">
        <w:rPr>
          <w:rFonts w:eastAsiaTheme="minorHAnsi"/>
          <w:sz w:val="28"/>
          <w:szCs w:val="28"/>
          <w:lang w:eastAsia="en-US"/>
        </w:rPr>
        <w:t>7</w:t>
      </w:r>
      <w:r w:rsidR="00E65D67" w:rsidRPr="006B190E">
        <w:rPr>
          <w:rFonts w:eastAsiaTheme="minorHAnsi"/>
          <w:sz w:val="28"/>
          <w:szCs w:val="28"/>
          <w:lang w:eastAsia="en-US"/>
        </w:rPr>
        <w:t xml:space="preserve"> годах возникновение очередности не прогнозируется.</w:t>
      </w:r>
    </w:p>
    <w:p w14:paraId="3993240D" w14:textId="716536FB" w:rsidR="00115919" w:rsidRPr="006B190E" w:rsidRDefault="00C3575A" w:rsidP="00560DC1">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 xml:space="preserve">11. </w:t>
      </w:r>
      <w:r w:rsidR="001D02C0" w:rsidRPr="006B190E">
        <w:rPr>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w:t>
      </w:r>
      <w:r w:rsidR="00AD341F" w:rsidRPr="006B190E">
        <w:rPr>
          <w:sz w:val="28"/>
          <w:szCs w:val="28"/>
        </w:rPr>
        <w:t xml:space="preserve">льных образовательных учреждений </w:t>
      </w:r>
      <w:r w:rsidR="001D02C0" w:rsidRPr="006B190E">
        <w:rPr>
          <w:sz w:val="28"/>
          <w:szCs w:val="28"/>
        </w:rPr>
        <w:t>в 202</w:t>
      </w:r>
      <w:r w:rsidR="00D3687E" w:rsidRPr="006B190E">
        <w:rPr>
          <w:sz w:val="28"/>
          <w:szCs w:val="28"/>
        </w:rPr>
        <w:t>4</w:t>
      </w:r>
      <w:r w:rsidR="001D02C0" w:rsidRPr="006B190E">
        <w:rPr>
          <w:sz w:val="28"/>
          <w:szCs w:val="28"/>
        </w:rPr>
        <w:t xml:space="preserve"> году, составила </w:t>
      </w:r>
      <w:r w:rsidR="00D3687E" w:rsidRPr="006B190E">
        <w:rPr>
          <w:sz w:val="28"/>
          <w:szCs w:val="28"/>
        </w:rPr>
        <w:t>14,3</w:t>
      </w:r>
      <w:r w:rsidR="001D02C0" w:rsidRPr="006B190E">
        <w:rPr>
          <w:sz w:val="28"/>
          <w:szCs w:val="28"/>
        </w:rPr>
        <w:t xml:space="preserve">%. </w:t>
      </w:r>
    </w:p>
    <w:p w14:paraId="5CDACC41" w14:textId="77777777" w:rsidR="001F31F2" w:rsidRPr="006B190E" w:rsidRDefault="001F31F2" w:rsidP="00AD741B">
      <w:pPr>
        <w:pStyle w:val="a8"/>
        <w:spacing w:before="0" w:after="0"/>
        <w:jc w:val="center"/>
        <w:rPr>
          <w:rFonts w:eastAsia="Calibri"/>
          <w:sz w:val="28"/>
          <w:szCs w:val="28"/>
          <w:lang w:eastAsia="en-US"/>
        </w:rPr>
      </w:pPr>
    </w:p>
    <w:p w14:paraId="50DAC908" w14:textId="77777777" w:rsidR="00C3575A" w:rsidRPr="006B190E" w:rsidRDefault="00C10C5A" w:rsidP="00AD741B">
      <w:pPr>
        <w:pStyle w:val="a8"/>
        <w:spacing w:before="0" w:after="0"/>
        <w:jc w:val="center"/>
        <w:rPr>
          <w:rFonts w:eastAsia="Calibri"/>
          <w:b/>
          <w:sz w:val="28"/>
          <w:szCs w:val="28"/>
          <w:lang w:eastAsia="en-US"/>
        </w:rPr>
      </w:pPr>
      <w:r w:rsidRPr="006B190E">
        <w:rPr>
          <w:rFonts w:eastAsia="Calibri"/>
          <w:b/>
          <w:sz w:val="28"/>
          <w:szCs w:val="28"/>
          <w:lang w:val="en-US" w:eastAsia="en-US"/>
        </w:rPr>
        <w:t>III</w:t>
      </w:r>
      <w:r w:rsidRPr="006B190E">
        <w:rPr>
          <w:rFonts w:eastAsia="Calibri"/>
          <w:b/>
          <w:sz w:val="28"/>
          <w:szCs w:val="28"/>
          <w:lang w:eastAsia="en-US"/>
        </w:rPr>
        <w:t xml:space="preserve">. </w:t>
      </w:r>
      <w:r w:rsidR="00C3575A" w:rsidRPr="006B190E">
        <w:rPr>
          <w:rFonts w:eastAsia="Calibri"/>
          <w:b/>
          <w:sz w:val="28"/>
          <w:szCs w:val="28"/>
          <w:lang w:eastAsia="en-US"/>
        </w:rPr>
        <w:t>Общ</w:t>
      </w:r>
      <w:r w:rsidR="001F31F2" w:rsidRPr="006B190E">
        <w:rPr>
          <w:rFonts w:eastAsia="Calibri"/>
          <w:b/>
          <w:sz w:val="28"/>
          <w:szCs w:val="28"/>
          <w:lang w:eastAsia="en-US"/>
        </w:rPr>
        <w:t>ее и дополнительное образование</w:t>
      </w:r>
    </w:p>
    <w:p w14:paraId="745F1590" w14:textId="7C9A3562" w:rsidR="001D02C0" w:rsidRPr="006B190E" w:rsidRDefault="00C3575A" w:rsidP="001D02C0">
      <w:pPr>
        <w:pStyle w:val="a8"/>
        <w:spacing w:before="0" w:after="0"/>
        <w:ind w:firstLine="709"/>
        <w:jc w:val="both"/>
        <w:rPr>
          <w:sz w:val="28"/>
          <w:szCs w:val="28"/>
        </w:rPr>
      </w:pPr>
      <w:r w:rsidRPr="006B190E">
        <w:rPr>
          <w:rFonts w:eastAsia="Calibri"/>
          <w:sz w:val="28"/>
          <w:szCs w:val="28"/>
        </w:rPr>
        <w:t xml:space="preserve">12. </w:t>
      </w:r>
      <w:r w:rsidR="001D02C0" w:rsidRPr="006B190E">
        <w:rPr>
          <w:sz w:val="28"/>
          <w:szCs w:val="28"/>
        </w:rPr>
        <w:t>В 202</w:t>
      </w:r>
      <w:r w:rsidR="0003457C" w:rsidRPr="006B190E">
        <w:rPr>
          <w:sz w:val="28"/>
          <w:szCs w:val="28"/>
        </w:rPr>
        <w:t>3</w:t>
      </w:r>
      <w:r w:rsidR="001D02C0" w:rsidRPr="006B190E">
        <w:rPr>
          <w:sz w:val="28"/>
          <w:szCs w:val="28"/>
        </w:rPr>
        <w:t>-202</w:t>
      </w:r>
      <w:r w:rsidR="0003457C" w:rsidRPr="006B190E">
        <w:rPr>
          <w:sz w:val="28"/>
          <w:szCs w:val="28"/>
        </w:rPr>
        <w:t>4</w:t>
      </w:r>
      <w:r w:rsidR="001D02C0" w:rsidRPr="006B190E">
        <w:rPr>
          <w:sz w:val="28"/>
          <w:szCs w:val="28"/>
        </w:rPr>
        <w:t xml:space="preserve"> учебном году в 11-х классах муниципальных общеобразовательных организаций обучались 51</w:t>
      </w:r>
      <w:r w:rsidR="0003457C" w:rsidRPr="006B190E">
        <w:rPr>
          <w:sz w:val="28"/>
          <w:szCs w:val="28"/>
        </w:rPr>
        <w:t>4</w:t>
      </w:r>
      <w:r w:rsidR="001D02C0" w:rsidRPr="006B190E">
        <w:rPr>
          <w:sz w:val="28"/>
          <w:szCs w:val="28"/>
        </w:rPr>
        <w:t xml:space="preserve"> человек.</w:t>
      </w:r>
    </w:p>
    <w:p w14:paraId="7ECB3776" w14:textId="6E5BB832" w:rsidR="001D02C0" w:rsidRPr="006B190E" w:rsidRDefault="0003457C" w:rsidP="001D02C0">
      <w:pPr>
        <w:pStyle w:val="a8"/>
        <w:spacing w:before="0" w:after="0"/>
        <w:ind w:firstLine="709"/>
        <w:jc w:val="both"/>
        <w:rPr>
          <w:sz w:val="28"/>
          <w:szCs w:val="28"/>
        </w:rPr>
      </w:pPr>
      <w:r w:rsidRPr="006B190E">
        <w:rPr>
          <w:sz w:val="28"/>
          <w:szCs w:val="28"/>
        </w:rPr>
        <w:t>3</w:t>
      </w:r>
      <w:r w:rsidR="001D02C0" w:rsidRPr="006B190E">
        <w:rPr>
          <w:sz w:val="28"/>
          <w:szCs w:val="28"/>
        </w:rPr>
        <w:t xml:space="preserve"> выпускник</w:t>
      </w:r>
      <w:r w:rsidRPr="006B190E">
        <w:rPr>
          <w:sz w:val="28"/>
          <w:szCs w:val="28"/>
        </w:rPr>
        <w:t>а</w:t>
      </w:r>
      <w:r w:rsidR="001D02C0" w:rsidRPr="006B190E">
        <w:rPr>
          <w:sz w:val="28"/>
          <w:szCs w:val="28"/>
        </w:rPr>
        <w:t xml:space="preserve"> (</w:t>
      </w:r>
      <w:r w:rsidRPr="006B190E">
        <w:rPr>
          <w:sz w:val="28"/>
          <w:szCs w:val="28"/>
        </w:rPr>
        <w:t>0,58</w:t>
      </w:r>
      <w:r w:rsidR="001D02C0" w:rsidRPr="006B190E">
        <w:rPr>
          <w:sz w:val="28"/>
          <w:szCs w:val="28"/>
        </w:rPr>
        <w:t xml:space="preserve"> %) не получили аттестат о среднем общем образовании:</w:t>
      </w:r>
    </w:p>
    <w:p w14:paraId="551B9756" w14:textId="77777777" w:rsidR="001D02C0" w:rsidRPr="006B190E" w:rsidRDefault="001D02C0" w:rsidP="001D02C0">
      <w:pPr>
        <w:pStyle w:val="a8"/>
        <w:spacing w:before="0" w:after="0"/>
        <w:ind w:firstLine="709"/>
        <w:jc w:val="both"/>
        <w:rPr>
          <w:sz w:val="28"/>
          <w:szCs w:val="28"/>
        </w:rPr>
      </w:pPr>
      <w:r w:rsidRPr="006B190E">
        <w:rPr>
          <w:sz w:val="28"/>
          <w:szCs w:val="28"/>
        </w:rPr>
        <w:t>- 1 из МБОУ «СОШ № 20» не допущен до государственной итоговой аттестации;</w:t>
      </w:r>
    </w:p>
    <w:p w14:paraId="21C9D637" w14:textId="4E3DC261" w:rsidR="0022345A" w:rsidRPr="006B190E" w:rsidRDefault="001D02C0" w:rsidP="001D02C0">
      <w:pPr>
        <w:pStyle w:val="a8"/>
        <w:spacing w:before="0" w:after="0"/>
        <w:ind w:firstLine="709"/>
        <w:jc w:val="both"/>
        <w:rPr>
          <w:sz w:val="28"/>
          <w:szCs w:val="28"/>
        </w:rPr>
      </w:pPr>
      <w:r w:rsidRPr="006B190E">
        <w:rPr>
          <w:sz w:val="28"/>
          <w:szCs w:val="28"/>
        </w:rPr>
        <w:t xml:space="preserve">- </w:t>
      </w:r>
      <w:r w:rsidR="00782C76" w:rsidRPr="006B190E">
        <w:rPr>
          <w:sz w:val="28"/>
          <w:szCs w:val="28"/>
        </w:rPr>
        <w:t>2</w:t>
      </w:r>
      <w:r w:rsidRPr="006B190E">
        <w:rPr>
          <w:sz w:val="28"/>
          <w:szCs w:val="28"/>
        </w:rPr>
        <w:t xml:space="preserve"> из МБОУ «СОШ № </w:t>
      </w:r>
      <w:r w:rsidR="00782C76" w:rsidRPr="006B190E">
        <w:rPr>
          <w:sz w:val="28"/>
          <w:szCs w:val="28"/>
        </w:rPr>
        <w:t>5</w:t>
      </w:r>
      <w:r w:rsidRPr="006B190E">
        <w:rPr>
          <w:sz w:val="28"/>
          <w:szCs w:val="28"/>
        </w:rPr>
        <w:t xml:space="preserve">», МБОУ «СОШ № </w:t>
      </w:r>
      <w:r w:rsidR="00782C76" w:rsidRPr="006B190E">
        <w:rPr>
          <w:sz w:val="28"/>
          <w:szCs w:val="28"/>
        </w:rPr>
        <w:t xml:space="preserve">6» </w:t>
      </w:r>
      <w:r w:rsidRPr="006B190E">
        <w:rPr>
          <w:sz w:val="28"/>
          <w:szCs w:val="28"/>
        </w:rPr>
        <w:t>отказались пересдавать в Е</w:t>
      </w:r>
      <w:r w:rsidR="00782C76" w:rsidRPr="006B190E">
        <w:rPr>
          <w:sz w:val="28"/>
          <w:szCs w:val="28"/>
        </w:rPr>
        <w:t>Г</w:t>
      </w:r>
      <w:r w:rsidRPr="006B190E">
        <w:rPr>
          <w:sz w:val="28"/>
          <w:szCs w:val="28"/>
        </w:rPr>
        <w:t>Э по математике сентябре.</w:t>
      </w:r>
    </w:p>
    <w:p w14:paraId="572BB526" w14:textId="4A3F02DF" w:rsidR="0022345A" w:rsidRPr="006B190E" w:rsidRDefault="00E65D67" w:rsidP="00560DC1">
      <w:pPr>
        <w:pStyle w:val="a3"/>
        <w:spacing w:after="0" w:line="240" w:lineRule="auto"/>
        <w:ind w:left="0" w:firstLine="720"/>
        <w:jc w:val="both"/>
        <w:rPr>
          <w:rFonts w:ascii="Times New Roman" w:eastAsia="Times New Roman" w:hAnsi="Times New Roman" w:cs="Times New Roman"/>
          <w:sz w:val="28"/>
          <w:szCs w:val="28"/>
          <w:lang w:eastAsia="ru-RU"/>
        </w:rPr>
      </w:pPr>
      <w:r w:rsidRPr="006B190E">
        <w:rPr>
          <w:rFonts w:ascii="Times New Roman" w:eastAsia="Times New Roman" w:hAnsi="Times New Roman" w:cs="Times New Roman"/>
          <w:sz w:val="28"/>
          <w:szCs w:val="28"/>
          <w:lang w:eastAsia="ru-RU"/>
        </w:rPr>
        <w:t>13</w:t>
      </w:r>
      <w:r w:rsidR="0022345A" w:rsidRPr="006B190E">
        <w:rPr>
          <w:rFonts w:ascii="Times New Roman" w:eastAsia="Times New Roman" w:hAnsi="Times New Roman" w:cs="Times New Roman"/>
          <w:sz w:val="28"/>
          <w:szCs w:val="28"/>
          <w:lang w:eastAsia="ru-RU"/>
        </w:rPr>
        <w:t xml:space="preserve">. </w:t>
      </w:r>
      <w:r w:rsidR="003900C9" w:rsidRPr="006B190E">
        <w:rPr>
          <w:rFonts w:ascii="Times New Roman" w:eastAsia="Times New Roman" w:hAnsi="Times New Roman" w:cs="Times New Roman"/>
          <w:sz w:val="28"/>
          <w:szCs w:val="28"/>
          <w:lang w:eastAsia="ru-RU"/>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r w:rsidR="00390777" w:rsidRPr="006B190E">
        <w:rPr>
          <w:rFonts w:ascii="Times New Roman" w:eastAsia="Times New Roman" w:hAnsi="Times New Roman" w:cs="Times New Roman"/>
          <w:sz w:val="28"/>
          <w:szCs w:val="28"/>
          <w:lang w:eastAsia="ru-RU"/>
        </w:rPr>
        <w:t>100</w:t>
      </w:r>
      <w:r w:rsidR="003900C9" w:rsidRPr="006B190E">
        <w:rPr>
          <w:rFonts w:ascii="Times New Roman" w:eastAsia="Times New Roman" w:hAnsi="Times New Roman" w:cs="Times New Roman"/>
          <w:sz w:val="28"/>
          <w:szCs w:val="28"/>
          <w:lang w:eastAsia="ru-RU"/>
        </w:rPr>
        <w:t>%</w:t>
      </w:r>
      <w:r w:rsidR="00390777" w:rsidRPr="006B190E">
        <w:rPr>
          <w:rFonts w:ascii="Times New Roman" w:eastAsia="Times New Roman" w:hAnsi="Times New Roman" w:cs="Times New Roman"/>
          <w:sz w:val="28"/>
          <w:szCs w:val="28"/>
          <w:lang w:eastAsia="ru-RU"/>
        </w:rPr>
        <w:t>.</w:t>
      </w:r>
    </w:p>
    <w:p w14:paraId="42D16359" w14:textId="4F68E7FD" w:rsidR="00E65D67" w:rsidRPr="006B190E" w:rsidRDefault="00E65D67" w:rsidP="00560DC1">
      <w:pPr>
        <w:pStyle w:val="a3"/>
        <w:spacing w:after="0" w:line="240" w:lineRule="auto"/>
        <w:ind w:left="0" w:firstLine="720"/>
        <w:jc w:val="both"/>
        <w:rPr>
          <w:rFonts w:ascii="Times New Roman" w:eastAsia="Times New Roman" w:hAnsi="Times New Roman" w:cs="Times New Roman"/>
          <w:sz w:val="28"/>
          <w:szCs w:val="28"/>
          <w:lang w:eastAsia="ru-RU"/>
        </w:rPr>
      </w:pPr>
      <w:r w:rsidRPr="006B190E">
        <w:rPr>
          <w:rFonts w:ascii="Times New Roman" w:eastAsia="Times New Roman" w:hAnsi="Times New Roman" w:cs="Times New Roman"/>
          <w:sz w:val="28"/>
          <w:szCs w:val="28"/>
          <w:lang w:eastAsia="ru-RU"/>
        </w:rPr>
        <w:t xml:space="preserve">14. </w:t>
      </w:r>
      <w:r w:rsidR="003900C9" w:rsidRPr="006B190E">
        <w:rPr>
          <w:rFonts w:ascii="Times New Roman" w:eastAsia="Times New Roman" w:hAnsi="Times New Roman" w:cs="Times New Roman"/>
          <w:sz w:val="28"/>
          <w:szCs w:val="28"/>
          <w:lang w:eastAsia="ru-RU"/>
        </w:rPr>
        <w:t xml:space="preserve">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r w:rsidR="00D3687E" w:rsidRPr="006B190E">
        <w:rPr>
          <w:rFonts w:ascii="Times New Roman" w:eastAsia="Times New Roman" w:hAnsi="Times New Roman" w:cs="Times New Roman"/>
          <w:sz w:val="28"/>
          <w:szCs w:val="28"/>
          <w:lang w:eastAsia="ru-RU"/>
        </w:rPr>
        <w:t>20,0</w:t>
      </w:r>
      <w:r w:rsidR="003900C9" w:rsidRPr="006B190E">
        <w:rPr>
          <w:rFonts w:ascii="Times New Roman" w:eastAsia="Times New Roman" w:hAnsi="Times New Roman" w:cs="Times New Roman"/>
          <w:sz w:val="28"/>
          <w:szCs w:val="28"/>
          <w:lang w:eastAsia="ru-RU"/>
        </w:rPr>
        <w:t>% (</w:t>
      </w:r>
      <w:r w:rsidR="00D3687E" w:rsidRPr="006B190E">
        <w:rPr>
          <w:rFonts w:ascii="Times New Roman" w:eastAsia="Times New Roman" w:hAnsi="Times New Roman" w:cs="Times New Roman"/>
          <w:sz w:val="28"/>
          <w:szCs w:val="28"/>
          <w:lang w:eastAsia="ru-RU"/>
        </w:rPr>
        <w:t>7</w:t>
      </w:r>
      <w:r w:rsidR="003900C9" w:rsidRPr="006B190E">
        <w:rPr>
          <w:rFonts w:ascii="Times New Roman" w:eastAsia="Times New Roman" w:hAnsi="Times New Roman" w:cs="Times New Roman"/>
          <w:sz w:val="28"/>
          <w:szCs w:val="28"/>
          <w:lang w:eastAsia="ru-RU"/>
        </w:rPr>
        <w:t xml:space="preserve"> учреждений общего образования из общего количества 35 организаций требуют капитального ремонта, подана заявка в министерство образования Тульской области о включении их в программу капитального ремонта 2024-2025 гг.). 2024-2025 гг. –капитальный ремонт 2 учреждений – 5,7%</w:t>
      </w:r>
      <w:r w:rsidR="00D3687E" w:rsidRPr="006B190E">
        <w:rPr>
          <w:rFonts w:ascii="Times New Roman" w:eastAsia="Times New Roman" w:hAnsi="Times New Roman" w:cs="Times New Roman"/>
          <w:sz w:val="28"/>
          <w:szCs w:val="28"/>
          <w:lang w:eastAsia="ru-RU"/>
        </w:rPr>
        <w:t>,</w:t>
      </w:r>
      <w:r w:rsidR="00BE2DF4">
        <w:rPr>
          <w:rFonts w:ascii="Times New Roman" w:eastAsia="Times New Roman" w:hAnsi="Times New Roman" w:cs="Times New Roman"/>
          <w:sz w:val="28"/>
          <w:szCs w:val="28"/>
          <w:lang w:eastAsia="ru-RU"/>
        </w:rPr>
        <w:t xml:space="preserve"> </w:t>
      </w:r>
      <w:r w:rsidR="00D3687E" w:rsidRPr="006B190E">
        <w:rPr>
          <w:rFonts w:ascii="Times New Roman" w:eastAsia="Times New Roman" w:hAnsi="Times New Roman" w:cs="Times New Roman"/>
          <w:sz w:val="28"/>
          <w:szCs w:val="28"/>
          <w:lang w:eastAsia="ru-RU"/>
        </w:rPr>
        <w:t>2025 г-Гимназия №13 -2,8%</w:t>
      </w:r>
    </w:p>
    <w:p w14:paraId="75DD206D" w14:textId="11E9324B" w:rsidR="00E45FC8" w:rsidRPr="006B190E" w:rsidRDefault="00C3575A" w:rsidP="00E45FC8">
      <w:pPr>
        <w:pStyle w:val="a3"/>
        <w:spacing w:after="0" w:line="240" w:lineRule="auto"/>
        <w:ind w:left="0" w:firstLine="720"/>
        <w:jc w:val="both"/>
        <w:rPr>
          <w:rFonts w:ascii="Times New Roman" w:eastAsia="Times New Roman" w:hAnsi="Times New Roman" w:cs="Times New Roman"/>
          <w:sz w:val="28"/>
          <w:szCs w:val="28"/>
          <w:lang w:eastAsia="ru-RU"/>
        </w:rPr>
      </w:pPr>
      <w:r w:rsidRPr="006B190E">
        <w:rPr>
          <w:rFonts w:ascii="Times New Roman" w:eastAsia="Times New Roman" w:hAnsi="Times New Roman" w:cs="Times New Roman"/>
          <w:sz w:val="28"/>
          <w:szCs w:val="28"/>
          <w:lang w:eastAsia="ru-RU"/>
        </w:rPr>
        <w:t>1</w:t>
      </w:r>
      <w:r w:rsidR="00115919" w:rsidRPr="006B190E">
        <w:rPr>
          <w:rFonts w:ascii="Times New Roman" w:eastAsia="Times New Roman" w:hAnsi="Times New Roman" w:cs="Times New Roman"/>
          <w:sz w:val="28"/>
          <w:szCs w:val="28"/>
          <w:lang w:eastAsia="ru-RU"/>
        </w:rPr>
        <w:t>5</w:t>
      </w:r>
      <w:r w:rsidRPr="006B190E">
        <w:rPr>
          <w:rFonts w:ascii="Times New Roman" w:eastAsia="Times New Roman" w:hAnsi="Times New Roman" w:cs="Times New Roman"/>
          <w:sz w:val="28"/>
          <w:szCs w:val="28"/>
          <w:lang w:eastAsia="ru-RU"/>
        </w:rPr>
        <w:t xml:space="preserve">. </w:t>
      </w:r>
      <w:r w:rsidR="00604CA3" w:rsidRPr="006B190E">
        <w:rPr>
          <w:rFonts w:ascii="Times New Roman" w:eastAsia="Times New Roman" w:hAnsi="Times New Roman" w:cs="Times New Roman"/>
          <w:sz w:val="28"/>
          <w:szCs w:val="28"/>
          <w:lang w:eastAsia="ru-RU"/>
        </w:rPr>
        <w:t xml:space="preserve">Доля детей первой и второй групп здоровья в общей </w:t>
      </w:r>
      <w:proofErr w:type="gramStart"/>
      <w:r w:rsidR="00BE2DF4" w:rsidRPr="006B190E">
        <w:rPr>
          <w:rFonts w:ascii="Times New Roman" w:eastAsia="Times New Roman" w:hAnsi="Times New Roman" w:cs="Times New Roman"/>
          <w:sz w:val="28"/>
          <w:szCs w:val="28"/>
          <w:lang w:eastAsia="ru-RU"/>
        </w:rPr>
        <w:t>численности</w:t>
      </w:r>
      <w:proofErr w:type="gramEnd"/>
      <w:r w:rsidR="00604CA3" w:rsidRPr="006B190E">
        <w:rPr>
          <w:rFonts w:ascii="Times New Roman" w:eastAsia="Times New Roman" w:hAnsi="Times New Roman" w:cs="Times New Roman"/>
          <w:sz w:val="28"/>
          <w:szCs w:val="28"/>
          <w:lang w:eastAsia="ru-RU"/>
        </w:rPr>
        <w:t xml:space="preserve"> обучающихся в муниципальных общеобразовательных учреждениях составляет </w:t>
      </w:r>
      <w:r w:rsidR="00C35AB9" w:rsidRPr="006B190E">
        <w:rPr>
          <w:rFonts w:ascii="Times New Roman" w:eastAsia="Times New Roman" w:hAnsi="Times New Roman" w:cs="Times New Roman"/>
          <w:sz w:val="28"/>
          <w:szCs w:val="28"/>
          <w:lang w:eastAsia="ru-RU"/>
        </w:rPr>
        <w:t>88,1</w:t>
      </w:r>
      <w:r w:rsidR="00604CA3" w:rsidRPr="006B190E">
        <w:rPr>
          <w:rFonts w:ascii="Times New Roman" w:eastAsia="Times New Roman" w:hAnsi="Times New Roman" w:cs="Times New Roman"/>
          <w:sz w:val="28"/>
          <w:szCs w:val="28"/>
          <w:lang w:eastAsia="ru-RU"/>
        </w:rPr>
        <w:t xml:space="preserve">%. </w:t>
      </w:r>
    </w:p>
    <w:p w14:paraId="3F31E04C" w14:textId="69219401" w:rsidR="00CC70CE" w:rsidRPr="006B190E" w:rsidRDefault="00C3575A" w:rsidP="00E45FC8">
      <w:pPr>
        <w:pStyle w:val="a3"/>
        <w:spacing w:after="0" w:line="240" w:lineRule="auto"/>
        <w:ind w:left="0" w:firstLine="720"/>
        <w:jc w:val="both"/>
        <w:rPr>
          <w:rFonts w:ascii="Times New Roman" w:eastAsia="Times New Roman" w:hAnsi="Times New Roman" w:cs="Times New Roman"/>
          <w:sz w:val="28"/>
          <w:szCs w:val="28"/>
          <w:lang w:eastAsia="ru-RU"/>
        </w:rPr>
      </w:pPr>
      <w:r w:rsidRPr="006B190E">
        <w:rPr>
          <w:rFonts w:ascii="Times New Roman" w:eastAsia="Times New Roman" w:hAnsi="Times New Roman" w:cs="Times New Roman"/>
          <w:sz w:val="28"/>
          <w:szCs w:val="28"/>
          <w:lang w:eastAsia="ru-RU"/>
        </w:rPr>
        <w:t>1</w:t>
      </w:r>
      <w:r w:rsidR="00115919" w:rsidRPr="006B190E">
        <w:rPr>
          <w:rFonts w:ascii="Times New Roman" w:eastAsia="Times New Roman" w:hAnsi="Times New Roman" w:cs="Times New Roman"/>
          <w:sz w:val="28"/>
          <w:szCs w:val="28"/>
          <w:lang w:eastAsia="ru-RU"/>
        </w:rPr>
        <w:t>6</w:t>
      </w:r>
      <w:r w:rsidRPr="006B190E">
        <w:rPr>
          <w:rFonts w:ascii="Times New Roman" w:eastAsia="Times New Roman" w:hAnsi="Times New Roman" w:cs="Times New Roman"/>
          <w:sz w:val="28"/>
          <w:szCs w:val="28"/>
          <w:lang w:eastAsia="ru-RU"/>
        </w:rPr>
        <w:t xml:space="preserve">. </w:t>
      </w:r>
      <w:r w:rsidR="00E65D67" w:rsidRPr="006B190E">
        <w:rPr>
          <w:rFonts w:ascii="Times New Roman" w:eastAsia="Times New Roman" w:hAnsi="Times New Roman" w:cs="Times New Roman"/>
          <w:sz w:val="28"/>
          <w:szCs w:val="28"/>
          <w:lang w:eastAsia="ru-RU"/>
        </w:rPr>
        <w:t>В 202</w:t>
      </w:r>
      <w:r w:rsidR="001F0D95" w:rsidRPr="006B190E">
        <w:rPr>
          <w:rFonts w:ascii="Times New Roman" w:eastAsia="Times New Roman" w:hAnsi="Times New Roman" w:cs="Times New Roman"/>
          <w:sz w:val="28"/>
          <w:szCs w:val="28"/>
          <w:lang w:eastAsia="ru-RU"/>
        </w:rPr>
        <w:t>4</w:t>
      </w:r>
      <w:r w:rsidR="00E65D67" w:rsidRPr="006B190E">
        <w:rPr>
          <w:rFonts w:ascii="Times New Roman" w:eastAsia="Times New Roman" w:hAnsi="Times New Roman" w:cs="Times New Roman"/>
          <w:sz w:val="28"/>
          <w:szCs w:val="28"/>
          <w:lang w:eastAsia="ru-RU"/>
        </w:rPr>
        <w:t>-202</w:t>
      </w:r>
      <w:r w:rsidR="001F0D95" w:rsidRPr="006B190E">
        <w:rPr>
          <w:rFonts w:ascii="Times New Roman" w:eastAsia="Times New Roman" w:hAnsi="Times New Roman" w:cs="Times New Roman"/>
          <w:sz w:val="28"/>
          <w:szCs w:val="28"/>
          <w:lang w:eastAsia="ru-RU"/>
        </w:rPr>
        <w:t>5</w:t>
      </w:r>
      <w:r w:rsidR="00E65D67" w:rsidRPr="006B190E">
        <w:rPr>
          <w:rFonts w:ascii="Times New Roman" w:eastAsia="Times New Roman" w:hAnsi="Times New Roman" w:cs="Times New Roman"/>
          <w:sz w:val="28"/>
          <w:szCs w:val="28"/>
          <w:lang w:eastAsia="ru-RU"/>
        </w:rPr>
        <w:t xml:space="preserve"> учебном году обучение ведется в первую смену во всех муниципальных общеобразовательных учреждениях. В дальнейшие годы возврат к двухсменному обучению не планируется.</w:t>
      </w:r>
    </w:p>
    <w:p w14:paraId="77769042" w14:textId="6AC15DA3" w:rsidR="00E45FC8" w:rsidRPr="006B190E" w:rsidRDefault="00E45FC8" w:rsidP="00E45FC8">
      <w:pPr>
        <w:pStyle w:val="a3"/>
        <w:spacing w:after="0" w:line="240" w:lineRule="auto"/>
        <w:ind w:left="0" w:firstLine="720"/>
        <w:jc w:val="both"/>
        <w:rPr>
          <w:rFonts w:ascii="Times New Roman" w:hAnsi="Times New Roman" w:cs="Times New Roman"/>
          <w:sz w:val="28"/>
          <w:szCs w:val="28"/>
        </w:rPr>
      </w:pPr>
      <w:r w:rsidRPr="006B190E">
        <w:rPr>
          <w:rFonts w:ascii="Times New Roman" w:hAnsi="Times New Roman" w:cs="Times New Roman"/>
          <w:sz w:val="28"/>
          <w:szCs w:val="28"/>
        </w:rPr>
        <w:t xml:space="preserve">17. </w:t>
      </w:r>
      <w:r w:rsidR="00E65D67" w:rsidRPr="006B190E">
        <w:rPr>
          <w:rFonts w:ascii="Times New Roman" w:hAnsi="Times New Roman" w:cs="Times New Roman"/>
          <w:sz w:val="28"/>
          <w:szCs w:val="28"/>
        </w:rPr>
        <w:t>Показатель расходов бюджета муниципального образования на общее образование в расчете на 1 обучающегося в муниципальных общеобразовательных организациях рассчитан на основании формы федерального статистического наблюдения №ОО-2 «Сведения о материально-технической и информационной базе, финансово-экономической деятельности общеобразовательной организации» за 202</w:t>
      </w:r>
      <w:r w:rsidR="00685CC0" w:rsidRPr="006B190E">
        <w:rPr>
          <w:rFonts w:ascii="Times New Roman" w:hAnsi="Times New Roman" w:cs="Times New Roman"/>
          <w:sz w:val="28"/>
          <w:szCs w:val="28"/>
        </w:rPr>
        <w:t>4</w:t>
      </w:r>
      <w:r w:rsidR="00E65D67" w:rsidRPr="006B190E">
        <w:rPr>
          <w:rFonts w:ascii="Times New Roman" w:hAnsi="Times New Roman" w:cs="Times New Roman"/>
          <w:sz w:val="28"/>
          <w:szCs w:val="28"/>
        </w:rPr>
        <w:t xml:space="preserve"> год.</w:t>
      </w:r>
    </w:p>
    <w:p w14:paraId="1A892D37" w14:textId="2D3B7B1E" w:rsidR="00604CA3" w:rsidRPr="006B190E" w:rsidRDefault="00C3575A" w:rsidP="00604CA3">
      <w:pPr>
        <w:pStyle w:val="a3"/>
        <w:spacing w:after="0" w:line="240" w:lineRule="auto"/>
        <w:ind w:left="0" w:firstLine="720"/>
        <w:jc w:val="both"/>
        <w:rPr>
          <w:rFonts w:ascii="Times New Roman" w:hAnsi="Times New Roman" w:cs="Times New Roman"/>
          <w:sz w:val="28"/>
          <w:szCs w:val="28"/>
        </w:rPr>
      </w:pPr>
      <w:r w:rsidRPr="006B190E">
        <w:rPr>
          <w:rFonts w:ascii="Times New Roman" w:hAnsi="Times New Roman" w:cs="Times New Roman"/>
          <w:sz w:val="28"/>
          <w:szCs w:val="28"/>
        </w:rPr>
        <w:t>1</w:t>
      </w:r>
      <w:r w:rsidR="007D31C0" w:rsidRPr="006B190E">
        <w:rPr>
          <w:rFonts w:ascii="Times New Roman" w:hAnsi="Times New Roman" w:cs="Times New Roman"/>
          <w:sz w:val="28"/>
          <w:szCs w:val="28"/>
        </w:rPr>
        <w:t>8</w:t>
      </w:r>
      <w:r w:rsidRPr="006B190E">
        <w:rPr>
          <w:rFonts w:ascii="Times New Roman" w:hAnsi="Times New Roman" w:cs="Times New Roman"/>
          <w:sz w:val="28"/>
          <w:szCs w:val="28"/>
        </w:rPr>
        <w:t xml:space="preserve">. </w:t>
      </w:r>
      <w:r w:rsidR="00ED4E1D" w:rsidRPr="006B190E">
        <w:rPr>
          <w:rFonts w:ascii="Times New Roman" w:hAnsi="Times New Roman" w:cs="Times New Roman"/>
          <w:sz w:val="28"/>
          <w:szCs w:val="28"/>
        </w:rPr>
        <w:t>По итогам 2024</w:t>
      </w:r>
      <w:r w:rsidR="00604CA3" w:rsidRPr="006B190E">
        <w:rPr>
          <w:rFonts w:ascii="Times New Roman" w:hAnsi="Times New Roman" w:cs="Times New Roman"/>
          <w:sz w:val="28"/>
          <w:szCs w:val="28"/>
        </w:rPr>
        <w:t xml:space="preserve"> года согласно АИС «Навигатор» в муниципальных образовательных организациях, реализующих программы дополнительного образования, обучалось </w:t>
      </w:r>
      <w:r w:rsidR="000561E1" w:rsidRPr="006B190E">
        <w:rPr>
          <w:rFonts w:ascii="Times New Roman" w:hAnsi="Times New Roman" w:cs="Times New Roman"/>
          <w:sz w:val="28"/>
          <w:szCs w:val="28"/>
        </w:rPr>
        <w:t>67,5</w:t>
      </w:r>
      <w:r w:rsidR="00604CA3" w:rsidRPr="006B190E">
        <w:rPr>
          <w:rFonts w:ascii="Times New Roman" w:hAnsi="Times New Roman" w:cs="Times New Roman"/>
          <w:sz w:val="28"/>
          <w:szCs w:val="28"/>
        </w:rPr>
        <w:t xml:space="preserve"> % детей 5-17 лет. </w:t>
      </w:r>
    </w:p>
    <w:p w14:paraId="1B984690" w14:textId="34116C6F" w:rsidR="007D31C0" w:rsidRPr="006B190E" w:rsidRDefault="00604CA3" w:rsidP="00604CA3">
      <w:pPr>
        <w:pStyle w:val="a3"/>
        <w:spacing w:after="0" w:line="240" w:lineRule="auto"/>
        <w:ind w:left="0" w:firstLine="720"/>
        <w:jc w:val="both"/>
        <w:rPr>
          <w:rFonts w:ascii="Times New Roman" w:hAnsi="Times New Roman" w:cs="Times New Roman"/>
          <w:sz w:val="28"/>
          <w:szCs w:val="28"/>
        </w:rPr>
      </w:pPr>
      <w:r w:rsidRPr="006B190E">
        <w:rPr>
          <w:rFonts w:ascii="Times New Roman" w:hAnsi="Times New Roman" w:cs="Times New Roman"/>
          <w:sz w:val="28"/>
          <w:szCs w:val="28"/>
        </w:rPr>
        <w:lastRenderedPageBreak/>
        <w:t xml:space="preserve">Программы дополнительного образования детей реализовывались в </w:t>
      </w:r>
      <w:r w:rsidR="00390777" w:rsidRPr="006B190E">
        <w:rPr>
          <w:rFonts w:ascii="Times New Roman" w:hAnsi="Times New Roman" w:cs="Times New Roman"/>
          <w:sz w:val="28"/>
          <w:szCs w:val="28"/>
        </w:rPr>
        <w:t>29</w:t>
      </w:r>
      <w:r w:rsidRPr="006B190E">
        <w:rPr>
          <w:rFonts w:ascii="Times New Roman" w:hAnsi="Times New Roman" w:cs="Times New Roman"/>
          <w:sz w:val="28"/>
          <w:szCs w:val="28"/>
        </w:rPr>
        <w:t xml:space="preserve"> дошкольных образовательных организациях, 3</w:t>
      </w:r>
      <w:r w:rsidR="00390777" w:rsidRPr="006B190E">
        <w:rPr>
          <w:rFonts w:ascii="Times New Roman" w:hAnsi="Times New Roman" w:cs="Times New Roman"/>
          <w:sz w:val="28"/>
          <w:szCs w:val="28"/>
        </w:rPr>
        <w:t>1</w:t>
      </w:r>
      <w:r w:rsidRPr="006B190E">
        <w:rPr>
          <w:rFonts w:ascii="Times New Roman" w:hAnsi="Times New Roman" w:cs="Times New Roman"/>
          <w:sz w:val="28"/>
          <w:szCs w:val="28"/>
        </w:rPr>
        <w:t xml:space="preserve"> общеобразовательных организациях, 3 организациях дополнительного образования.</w:t>
      </w:r>
    </w:p>
    <w:p w14:paraId="3BD7C2E7" w14:textId="77777777" w:rsidR="009C0AA9" w:rsidRPr="006B190E" w:rsidRDefault="009C0AA9" w:rsidP="009C0AA9">
      <w:pPr>
        <w:pStyle w:val="a8"/>
        <w:spacing w:before="0" w:after="0"/>
        <w:jc w:val="center"/>
        <w:rPr>
          <w:sz w:val="28"/>
          <w:szCs w:val="28"/>
        </w:rPr>
      </w:pPr>
    </w:p>
    <w:p w14:paraId="5F5CE16C" w14:textId="77777777" w:rsidR="009C0AA9" w:rsidRPr="006B190E" w:rsidRDefault="00C10C5A" w:rsidP="009C0AA9">
      <w:pPr>
        <w:pStyle w:val="a8"/>
        <w:spacing w:before="0" w:after="0"/>
        <w:jc w:val="center"/>
        <w:rPr>
          <w:b/>
          <w:sz w:val="28"/>
          <w:szCs w:val="28"/>
        </w:rPr>
      </w:pPr>
      <w:r w:rsidRPr="006B190E">
        <w:rPr>
          <w:b/>
          <w:sz w:val="28"/>
          <w:szCs w:val="28"/>
          <w:lang w:val="en-US"/>
        </w:rPr>
        <w:t>IV</w:t>
      </w:r>
      <w:r w:rsidRPr="006B190E">
        <w:rPr>
          <w:b/>
          <w:sz w:val="28"/>
          <w:szCs w:val="28"/>
        </w:rPr>
        <w:t xml:space="preserve">. </w:t>
      </w:r>
      <w:r w:rsidR="009C0AA9" w:rsidRPr="006B190E">
        <w:rPr>
          <w:b/>
          <w:sz w:val="28"/>
          <w:szCs w:val="28"/>
        </w:rPr>
        <w:t>Культура</w:t>
      </w:r>
    </w:p>
    <w:p w14:paraId="0940CD58" w14:textId="77777777" w:rsidR="00FB1818" w:rsidRPr="006B190E" w:rsidRDefault="007D31C0" w:rsidP="00AD741B">
      <w:pPr>
        <w:pStyle w:val="a8"/>
        <w:spacing w:before="0" w:after="0"/>
        <w:ind w:firstLine="709"/>
        <w:jc w:val="both"/>
        <w:rPr>
          <w:sz w:val="28"/>
        </w:rPr>
      </w:pPr>
      <w:r w:rsidRPr="006B190E">
        <w:rPr>
          <w:sz w:val="28"/>
          <w:szCs w:val="28"/>
        </w:rPr>
        <w:t>19</w:t>
      </w:r>
      <w:r w:rsidR="00F15E1F" w:rsidRPr="006B190E">
        <w:rPr>
          <w:sz w:val="28"/>
          <w:szCs w:val="28"/>
        </w:rPr>
        <w:t>.</w:t>
      </w:r>
      <w:r w:rsidR="00101310" w:rsidRPr="006B190E">
        <w:rPr>
          <w:sz w:val="28"/>
          <w:szCs w:val="28"/>
        </w:rPr>
        <w:t xml:space="preserve"> </w:t>
      </w:r>
      <w:r w:rsidR="00F25992" w:rsidRPr="006B190E">
        <w:rPr>
          <w:sz w:val="28"/>
        </w:rPr>
        <w:t>В муниципальном образовании город Новомосковск действуют 12 учреждений культуры – юридических лиц (45 объектов), в том числе 17 учреждений клубного типа, 3 музея, централизованная библиотечная система с 20 обособленными подразделениями и 5 школ дополнительного образования.</w:t>
      </w:r>
    </w:p>
    <w:p w14:paraId="16126C08" w14:textId="77777777" w:rsidR="007D31C0" w:rsidRPr="006B190E" w:rsidRDefault="00FB1818" w:rsidP="00AD741B">
      <w:pPr>
        <w:pStyle w:val="a8"/>
        <w:spacing w:before="0" w:after="0"/>
        <w:ind w:firstLine="709"/>
        <w:jc w:val="both"/>
        <w:rPr>
          <w:sz w:val="28"/>
        </w:rPr>
      </w:pPr>
      <w:r w:rsidRPr="006B190E">
        <w:rPr>
          <w:sz w:val="28"/>
        </w:rPr>
        <w:t>Значения показателей эффективности деятельности учреждений культуры сформированы следующим образом.</w:t>
      </w:r>
    </w:p>
    <w:p w14:paraId="5BC7382F" w14:textId="0EA26C05" w:rsidR="00F25992" w:rsidRPr="006B190E" w:rsidRDefault="00F25992" w:rsidP="00F25992">
      <w:pPr>
        <w:pStyle w:val="ConsPlusNormal"/>
        <w:ind w:firstLine="709"/>
        <w:jc w:val="both"/>
        <w:rPr>
          <w:rFonts w:ascii="Times New Roman" w:hAnsi="Times New Roman" w:cs="Times New Roman"/>
          <w:sz w:val="28"/>
          <w:szCs w:val="28"/>
        </w:rPr>
      </w:pPr>
      <w:r w:rsidRPr="006B190E">
        <w:rPr>
          <w:rFonts w:ascii="Times New Roman" w:hAnsi="Times New Roman" w:cs="Times New Roman"/>
          <w:sz w:val="28"/>
          <w:szCs w:val="28"/>
        </w:rPr>
        <w:t>Уровень фактической обеспеченности учреждениями клубного типа культуры от нормативной потребности составляет 100 процентов, что соответствует плановым значениям 202</w:t>
      </w:r>
      <w:r w:rsidR="00623110" w:rsidRPr="006B190E">
        <w:rPr>
          <w:rFonts w:ascii="Times New Roman" w:hAnsi="Times New Roman" w:cs="Times New Roman"/>
          <w:sz w:val="28"/>
          <w:szCs w:val="28"/>
        </w:rPr>
        <w:t>4</w:t>
      </w:r>
      <w:r w:rsidRPr="006B190E">
        <w:rPr>
          <w:rFonts w:ascii="Times New Roman" w:hAnsi="Times New Roman" w:cs="Times New Roman"/>
          <w:sz w:val="28"/>
          <w:szCs w:val="28"/>
        </w:rPr>
        <w:t>г. и прогнозируется на период до 202</w:t>
      </w:r>
      <w:r w:rsidR="003F1400" w:rsidRPr="006B190E">
        <w:rPr>
          <w:rFonts w:ascii="Times New Roman" w:hAnsi="Times New Roman" w:cs="Times New Roman"/>
          <w:sz w:val="28"/>
          <w:szCs w:val="28"/>
        </w:rPr>
        <w:t>7</w:t>
      </w:r>
      <w:r w:rsidRPr="006B190E">
        <w:rPr>
          <w:rFonts w:ascii="Times New Roman" w:hAnsi="Times New Roman" w:cs="Times New Roman"/>
          <w:sz w:val="28"/>
          <w:szCs w:val="28"/>
        </w:rPr>
        <w:t xml:space="preserve"> года.</w:t>
      </w:r>
    </w:p>
    <w:p w14:paraId="04C355A5" w14:textId="4574289A" w:rsidR="00F25992" w:rsidRPr="006B190E" w:rsidRDefault="00F25992" w:rsidP="00F25992">
      <w:pPr>
        <w:pStyle w:val="ConsPlusNormal"/>
        <w:ind w:firstLine="709"/>
        <w:jc w:val="both"/>
        <w:rPr>
          <w:rFonts w:ascii="Times New Roman" w:hAnsi="Times New Roman" w:cs="Times New Roman"/>
          <w:sz w:val="28"/>
          <w:szCs w:val="28"/>
        </w:rPr>
      </w:pPr>
      <w:r w:rsidRPr="006B190E">
        <w:rPr>
          <w:rFonts w:ascii="Times New Roman" w:hAnsi="Times New Roman" w:cs="Times New Roman"/>
          <w:sz w:val="28"/>
          <w:szCs w:val="28"/>
        </w:rPr>
        <w:t>Показатель фактической обеспеченности библиотеками на 202</w:t>
      </w:r>
      <w:r w:rsidR="003F1400" w:rsidRPr="006B190E">
        <w:rPr>
          <w:rFonts w:ascii="Times New Roman" w:hAnsi="Times New Roman" w:cs="Times New Roman"/>
          <w:sz w:val="28"/>
          <w:szCs w:val="28"/>
        </w:rPr>
        <w:t>4</w:t>
      </w:r>
      <w:r w:rsidRPr="006B190E">
        <w:rPr>
          <w:rFonts w:ascii="Times New Roman" w:hAnsi="Times New Roman" w:cs="Times New Roman"/>
          <w:sz w:val="28"/>
          <w:szCs w:val="28"/>
        </w:rPr>
        <w:t>г. снизился до 7</w:t>
      </w:r>
      <w:r w:rsidR="003F1400" w:rsidRPr="006B190E">
        <w:rPr>
          <w:rFonts w:ascii="Times New Roman" w:hAnsi="Times New Roman" w:cs="Times New Roman"/>
          <w:sz w:val="28"/>
          <w:szCs w:val="28"/>
        </w:rPr>
        <w:t>1</w:t>
      </w:r>
      <w:r w:rsidRPr="006B190E">
        <w:rPr>
          <w:rFonts w:ascii="Times New Roman" w:hAnsi="Times New Roman" w:cs="Times New Roman"/>
          <w:sz w:val="28"/>
          <w:szCs w:val="28"/>
        </w:rPr>
        <w:t xml:space="preserve">% в связи с утверждением распоряжения Министерства культуры РФ от 23 октября 2023 г.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w:t>
      </w:r>
    </w:p>
    <w:p w14:paraId="54B94400" w14:textId="6B66F11D" w:rsidR="00770F04" w:rsidRPr="006B190E" w:rsidRDefault="00F25992" w:rsidP="00F25992">
      <w:pPr>
        <w:pStyle w:val="ConsPlusNormal"/>
        <w:ind w:firstLine="709"/>
        <w:jc w:val="both"/>
        <w:rPr>
          <w:rFonts w:ascii="Times New Roman" w:hAnsi="Times New Roman" w:cs="Times New Roman"/>
          <w:sz w:val="28"/>
          <w:szCs w:val="28"/>
        </w:rPr>
      </w:pPr>
      <w:r w:rsidRPr="006B190E">
        <w:rPr>
          <w:rFonts w:ascii="Times New Roman" w:hAnsi="Times New Roman" w:cs="Times New Roman"/>
          <w:sz w:val="28"/>
          <w:szCs w:val="28"/>
        </w:rPr>
        <w:t>Уровень фактической обеспеченности парками культуры и отдыха от нормативной потребности в 202</w:t>
      </w:r>
      <w:r w:rsidR="003F1400" w:rsidRPr="006B190E">
        <w:rPr>
          <w:rFonts w:ascii="Times New Roman" w:hAnsi="Times New Roman" w:cs="Times New Roman"/>
          <w:sz w:val="28"/>
          <w:szCs w:val="28"/>
        </w:rPr>
        <w:t>4</w:t>
      </w:r>
      <w:r w:rsidRPr="006B190E">
        <w:rPr>
          <w:rFonts w:ascii="Times New Roman" w:hAnsi="Times New Roman" w:cs="Times New Roman"/>
          <w:sz w:val="28"/>
          <w:szCs w:val="28"/>
        </w:rPr>
        <w:t xml:space="preserve"> году остался на прежнем уровне - 60% (план - 5 ед., факт - 3 ед.), что соответствует плановым значениям и прогнозируется на плановый период до 2026 года.</w:t>
      </w:r>
    </w:p>
    <w:p w14:paraId="6272A284" w14:textId="75BB13BE" w:rsidR="001038C6" w:rsidRPr="006B190E" w:rsidRDefault="00F15E1F" w:rsidP="00770F04">
      <w:pPr>
        <w:pStyle w:val="ConsPlusNormal"/>
        <w:ind w:firstLine="709"/>
        <w:jc w:val="both"/>
        <w:rPr>
          <w:rFonts w:ascii="Times New Roman" w:hAnsi="Times New Roman" w:cs="Times New Roman"/>
          <w:sz w:val="28"/>
          <w:szCs w:val="28"/>
        </w:rPr>
      </w:pPr>
      <w:r w:rsidRPr="006B190E">
        <w:rPr>
          <w:rFonts w:ascii="Times New Roman" w:hAnsi="Times New Roman" w:cs="Times New Roman"/>
          <w:sz w:val="28"/>
          <w:szCs w:val="28"/>
        </w:rPr>
        <w:t>2</w:t>
      </w:r>
      <w:r w:rsidR="007D31C0" w:rsidRPr="006B190E">
        <w:rPr>
          <w:rFonts w:ascii="Times New Roman" w:hAnsi="Times New Roman" w:cs="Times New Roman"/>
          <w:sz w:val="28"/>
          <w:szCs w:val="28"/>
        </w:rPr>
        <w:t>0</w:t>
      </w:r>
      <w:r w:rsidRPr="006B190E">
        <w:rPr>
          <w:rFonts w:ascii="Times New Roman" w:hAnsi="Times New Roman" w:cs="Times New Roman"/>
          <w:sz w:val="28"/>
          <w:szCs w:val="28"/>
        </w:rPr>
        <w:t>.</w:t>
      </w:r>
      <w:r w:rsidR="002F4C8D" w:rsidRPr="006B190E">
        <w:rPr>
          <w:rFonts w:ascii="Times New Roman" w:hAnsi="Times New Roman" w:cs="Times New Roman"/>
          <w:sz w:val="28"/>
          <w:szCs w:val="28"/>
        </w:rPr>
        <w:t xml:space="preserve"> </w:t>
      </w:r>
      <w:r w:rsidR="00F25992" w:rsidRPr="006B190E">
        <w:rPr>
          <w:rFonts w:ascii="Times New Roman" w:hAnsi="Times New Roman" w:cs="Times New Roman"/>
          <w:sz w:val="28"/>
          <w:szCs w:val="28"/>
        </w:rPr>
        <w:t>Доля муниципальных учреждений культуры, здания которых требуют капитального ремонта в 202</w:t>
      </w:r>
      <w:r w:rsidR="003F1400" w:rsidRPr="006B190E">
        <w:rPr>
          <w:rFonts w:ascii="Times New Roman" w:hAnsi="Times New Roman" w:cs="Times New Roman"/>
          <w:sz w:val="28"/>
          <w:szCs w:val="28"/>
        </w:rPr>
        <w:t>4</w:t>
      </w:r>
      <w:r w:rsidR="00F25992" w:rsidRPr="006B190E">
        <w:rPr>
          <w:rFonts w:ascii="Times New Roman" w:hAnsi="Times New Roman" w:cs="Times New Roman"/>
          <w:sz w:val="28"/>
          <w:szCs w:val="28"/>
        </w:rPr>
        <w:t xml:space="preserve"> году, составила 10,64 % (5 объектов из 47). На 2024</w:t>
      </w:r>
      <w:r w:rsidR="003F1400" w:rsidRPr="006B190E">
        <w:rPr>
          <w:rFonts w:ascii="Times New Roman" w:hAnsi="Times New Roman" w:cs="Times New Roman"/>
          <w:sz w:val="28"/>
          <w:szCs w:val="28"/>
        </w:rPr>
        <w:t>5</w:t>
      </w:r>
      <w:r w:rsidR="00F25992" w:rsidRPr="006B190E">
        <w:rPr>
          <w:rFonts w:ascii="Times New Roman" w:hAnsi="Times New Roman" w:cs="Times New Roman"/>
          <w:sz w:val="28"/>
          <w:szCs w:val="28"/>
        </w:rPr>
        <w:t xml:space="preserve"> запланирован показатель 8,51%: нуждаются в капитальном ремонте 2 здания музея и 2 здания Детской школы искусств из 47 объектов. Показатель потребности в капитальном ремонте на плановый период до 202</w:t>
      </w:r>
      <w:r w:rsidR="003F1400" w:rsidRPr="006B190E">
        <w:rPr>
          <w:rFonts w:ascii="Times New Roman" w:hAnsi="Times New Roman" w:cs="Times New Roman"/>
          <w:sz w:val="28"/>
          <w:szCs w:val="28"/>
        </w:rPr>
        <w:t>7</w:t>
      </w:r>
      <w:r w:rsidR="00F25992" w:rsidRPr="006B190E">
        <w:rPr>
          <w:rFonts w:ascii="Times New Roman" w:hAnsi="Times New Roman" w:cs="Times New Roman"/>
          <w:sz w:val="28"/>
          <w:szCs w:val="28"/>
        </w:rPr>
        <w:t xml:space="preserve"> года установлен - 4 объекта культуры из 47 ежегодно, что составит 8,51%.</w:t>
      </w:r>
    </w:p>
    <w:p w14:paraId="62D19F15" w14:textId="77777777" w:rsidR="00F15E1F" w:rsidRPr="006B190E" w:rsidRDefault="00F15E1F" w:rsidP="00AD741B">
      <w:pPr>
        <w:pStyle w:val="a8"/>
        <w:spacing w:before="0" w:after="0"/>
        <w:ind w:firstLine="709"/>
        <w:jc w:val="both"/>
        <w:rPr>
          <w:rFonts w:eastAsia="Calibri"/>
          <w:sz w:val="28"/>
          <w:szCs w:val="28"/>
          <w:lang w:eastAsia="en-US"/>
        </w:rPr>
      </w:pPr>
      <w:r w:rsidRPr="006B190E">
        <w:rPr>
          <w:rFonts w:eastAsia="Calibri"/>
          <w:sz w:val="28"/>
          <w:szCs w:val="28"/>
          <w:lang w:eastAsia="en-US"/>
        </w:rPr>
        <w:t>2</w:t>
      </w:r>
      <w:r w:rsidR="007D31C0" w:rsidRPr="006B190E">
        <w:rPr>
          <w:rFonts w:eastAsia="Calibri"/>
          <w:sz w:val="28"/>
          <w:szCs w:val="28"/>
          <w:lang w:eastAsia="en-US"/>
        </w:rPr>
        <w:t>1</w:t>
      </w:r>
      <w:r w:rsidRPr="006B190E">
        <w:rPr>
          <w:rFonts w:eastAsia="Calibri"/>
          <w:sz w:val="28"/>
          <w:szCs w:val="28"/>
          <w:lang w:eastAsia="en-US"/>
        </w:rPr>
        <w:t>.</w:t>
      </w:r>
      <w:r w:rsidR="002F4C8D" w:rsidRPr="006B190E">
        <w:rPr>
          <w:rFonts w:eastAsia="Calibri"/>
          <w:sz w:val="28"/>
          <w:szCs w:val="28"/>
          <w:lang w:eastAsia="en-US"/>
        </w:rPr>
        <w:t xml:space="preserve"> </w:t>
      </w:r>
      <w:r w:rsidR="00FB1818" w:rsidRPr="006B190E">
        <w:rPr>
          <w:sz w:val="28"/>
          <w:szCs w:val="28"/>
        </w:rPr>
        <w:t>Объекты культурного наследия, находящиеся в муниципальной собственности, находятся в удовлетворительном состоянии и не требуют консервации или реставрации.</w:t>
      </w:r>
    </w:p>
    <w:p w14:paraId="1ED0CF82" w14:textId="77777777" w:rsidR="009C0AA9" w:rsidRPr="006B190E" w:rsidRDefault="009C0AA9" w:rsidP="00AD741B">
      <w:pPr>
        <w:pStyle w:val="a8"/>
        <w:spacing w:before="0" w:after="0"/>
        <w:ind w:firstLine="709"/>
        <w:jc w:val="both"/>
        <w:rPr>
          <w:rFonts w:eastAsia="Calibri"/>
          <w:sz w:val="28"/>
          <w:szCs w:val="28"/>
          <w:lang w:eastAsia="en-US"/>
        </w:rPr>
      </w:pPr>
    </w:p>
    <w:p w14:paraId="4BB570C3" w14:textId="77777777" w:rsidR="009C0AA9" w:rsidRPr="006B190E" w:rsidRDefault="00C10C5A" w:rsidP="009C0AA9">
      <w:pPr>
        <w:pStyle w:val="a8"/>
        <w:spacing w:before="0" w:after="0"/>
        <w:jc w:val="center"/>
        <w:rPr>
          <w:rFonts w:eastAsia="Calibri"/>
          <w:b/>
          <w:sz w:val="28"/>
          <w:szCs w:val="28"/>
          <w:lang w:eastAsia="en-US"/>
        </w:rPr>
      </w:pPr>
      <w:r w:rsidRPr="006B190E">
        <w:rPr>
          <w:rFonts w:eastAsia="Calibri"/>
          <w:b/>
          <w:sz w:val="28"/>
          <w:szCs w:val="28"/>
          <w:lang w:val="en-US" w:eastAsia="en-US"/>
        </w:rPr>
        <w:t>V</w:t>
      </w:r>
      <w:r w:rsidRPr="006B190E">
        <w:rPr>
          <w:rFonts w:eastAsia="Calibri"/>
          <w:b/>
          <w:sz w:val="28"/>
          <w:szCs w:val="28"/>
          <w:lang w:eastAsia="en-US"/>
        </w:rPr>
        <w:t xml:space="preserve">. </w:t>
      </w:r>
      <w:r w:rsidR="009C0AA9" w:rsidRPr="006B190E">
        <w:rPr>
          <w:rFonts w:eastAsia="Calibri"/>
          <w:b/>
          <w:sz w:val="28"/>
          <w:szCs w:val="28"/>
          <w:lang w:eastAsia="en-US"/>
        </w:rPr>
        <w:t>Физическая культура и спорт</w:t>
      </w:r>
    </w:p>
    <w:p w14:paraId="7757445E" w14:textId="77777777" w:rsidR="000A07D3" w:rsidRPr="006B190E" w:rsidRDefault="00DD6056" w:rsidP="000A07D3">
      <w:pPr>
        <w:pStyle w:val="a8"/>
        <w:spacing w:before="0" w:after="0"/>
        <w:ind w:firstLine="709"/>
        <w:jc w:val="both"/>
        <w:rPr>
          <w:sz w:val="28"/>
          <w:szCs w:val="28"/>
        </w:rPr>
      </w:pPr>
      <w:r w:rsidRPr="006B190E">
        <w:rPr>
          <w:rFonts w:eastAsia="Calibri"/>
          <w:sz w:val="28"/>
          <w:szCs w:val="28"/>
          <w:lang w:eastAsia="en-US"/>
        </w:rPr>
        <w:t>2</w:t>
      </w:r>
      <w:r w:rsidR="007D31C0" w:rsidRPr="006B190E">
        <w:rPr>
          <w:rFonts w:eastAsia="Calibri"/>
          <w:sz w:val="28"/>
          <w:szCs w:val="28"/>
          <w:lang w:eastAsia="en-US"/>
        </w:rPr>
        <w:t>2</w:t>
      </w:r>
      <w:r w:rsidRPr="006B190E">
        <w:rPr>
          <w:rFonts w:eastAsia="Calibri"/>
          <w:sz w:val="28"/>
          <w:szCs w:val="28"/>
          <w:lang w:eastAsia="en-US"/>
        </w:rPr>
        <w:t xml:space="preserve">. </w:t>
      </w:r>
      <w:r w:rsidR="000A07D3" w:rsidRPr="006B190E">
        <w:rPr>
          <w:sz w:val="28"/>
          <w:szCs w:val="28"/>
        </w:rPr>
        <w:t xml:space="preserve">В муниципальном образовании город Новомосковск осуществляют деятельность 7 учреждений спортивной направленности. Подготовку спортивного резерва по 15 видам спорта осуществляют 4 учреждения спорта и 2 детско-юношеские спортивные школы. В группы спортивной подготовки зачислены 2750 спортсменов. </w:t>
      </w:r>
    </w:p>
    <w:p w14:paraId="69E6CFAB" w14:textId="77777777" w:rsidR="000A07D3" w:rsidRPr="006B190E" w:rsidRDefault="000A07D3" w:rsidP="000A07D3">
      <w:pPr>
        <w:pStyle w:val="a8"/>
        <w:spacing w:before="0" w:after="0"/>
        <w:ind w:firstLine="709"/>
        <w:jc w:val="both"/>
        <w:rPr>
          <w:rFonts w:eastAsia="Calibri"/>
          <w:sz w:val="28"/>
          <w:szCs w:val="28"/>
          <w:lang w:eastAsia="en-US"/>
        </w:rPr>
      </w:pPr>
      <w:r w:rsidRPr="006B190E">
        <w:rPr>
          <w:rFonts w:eastAsia="Calibri"/>
          <w:sz w:val="28"/>
          <w:szCs w:val="28"/>
          <w:lang w:eastAsia="en-US"/>
        </w:rPr>
        <w:t xml:space="preserve">В городе Новомосковске физической культурой и спортом занимается более 74 тыс. человек, что составляет 59% в общей численности населения от 3 до 79 лет. Показатель вырос на 0,5% по отношению к 2023 году. Доля </w:t>
      </w:r>
      <w:r w:rsidRPr="006B190E">
        <w:rPr>
          <w:rFonts w:eastAsia="Calibri"/>
          <w:sz w:val="28"/>
          <w:szCs w:val="28"/>
          <w:lang w:eastAsia="en-US"/>
        </w:rPr>
        <w:lastRenderedPageBreak/>
        <w:t xml:space="preserve">обучающихся, занимающихся физической культурой и спортом в общей </w:t>
      </w:r>
      <w:proofErr w:type="gramStart"/>
      <w:r w:rsidRPr="006B190E">
        <w:rPr>
          <w:rFonts w:eastAsia="Calibri"/>
          <w:sz w:val="28"/>
          <w:szCs w:val="28"/>
          <w:lang w:eastAsia="en-US"/>
        </w:rPr>
        <w:t>численности</w:t>
      </w:r>
      <w:proofErr w:type="gramEnd"/>
      <w:r w:rsidRPr="006B190E">
        <w:rPr>
          <w:rFonts w:eastAsia="Calibri"/>
          <w:sz w:val="28"/>
          <w:szCs w:val="28"/>
          <w:lang w:eastAsia="en-US"/>
        </w:rPr>
        <w:t xml:space="preserve"> обучающихся выросла на 21% и составила 97 %.</w:t>
      </w:r>
    </w:p>
    <w:p w14:paraId="56B9C755" w14:textId="77777777" w:rsidR="000A07D3" w:rsidRPr="006B190E" w:rsidRDefault="000A07D3" w:rsidP="000A07D3">
      <w:pPr>
        <w:pStyle w:val="a8"/>
        <w:spacing w:before="0" w:after="0"/>
        <w:ind w:firstLine="709"/>
        <w:jc w:val="both"/>
        <w:rPr>
          <w:rFonts w:eastAsia="Calibri"/>
          <w:sz w:val="28"/>
          <w:szCs w:val="28"/>
          <w:lang w:eastAsia="en-US"/>
        </w:rPr>
      </w:pPr>
      <w:r w:rsidRPr="006B190E">
        <w:rPr>
          <w:rFonts w:eastAsia="Calibri"/>
          <w:sz w:val="28"/>
          <w:szCs w:val="28"/>
          <w:lang w:eastAsia="en-US"/>
        </w:rPr>
        <w:t xml:space="preserve">Календарный план спортивных и физкультурных мероприятий муниципального образования город Новомосковск на 2024 год включал 100 соревнований по 25 видам спорта. В соответствии с Календарным планом спортивных и физкультурных мероприятий проведены чемпионаты, Кубки и первенства муниципального образования город Новомосковск, в которых приняли участие более 21 тысячи человек. </w:t>
      </w:r>
    </w:p>
    <w:p w14:paraId="3020FD85" w14:textId="77777777" w:rsidR="000A07D3" w:rsidRPr="006B190E" w:rsidRDefault="000A07D3" w:rsidP="000A07D3">
      <w:pPr>
        <w:spacing w:after="0" w:line="240" w:lineRule="auto"/>
        <w:ind w:firstLine="709"/>
        <w:jc w:val="both"/>
        <w:rPr>
          <w:rFonts w:ascii="Times New Roman" w:hAnsi="Times New Roman"/>
          <w:sz w:val="28"/>
          <w:szCs w:val="28"/>
        </w:rPr>
      </w:pPr>
      <w:r w:rsidRPr="006B190E">
        <w:rPr>
          <w:rFonts w:ascii="Times New Roman" w:hAnsi="Times New Roman"/>
          <w:sz w:val="28"/>
          <w:szCs w:val="28"/>
        </w:rPr>
        <w:t>В 2024 году Новомосковские спортсмены становились чемпионами и призерами чемпионатов, первенств России, победителями Кубков России, международных соревнований.</w:t>
      </w:r>
    </w:p>
    <w:p w14:paraId="7CAA9188" w14:textId="77777777" w:rsidR="000A07D3" w:rsidRPr="006B190E" w:rsidRDefault="000A07D3" w:rsidP="000A07D3">
      <w:pPr>
        <w:autoSpaceDE w:val="0"/>
        <w:spacing w:after="0" w:line="228" w:lineRule="auto"/>
        <w:ind w:firstLine="708"/>
        <w:jc w:val="both"/>
        <w:rPr>
          <w:rFonts w:ascii="Times New Roman" w:hAnsi="Times New Roman"/>
          <w:sz w:val="28"/>
          <w:szCs w:val="28"/>
        </w:rPr>
      </w:pPr>
      <w:r w:rsidRPr="006B190E">
        <w:rPr>
          <w:rFonts w:ascii="Times New Roman" w:hAnsi="Times New Roman"/>
          <w:sz w:val="28"/>
          <w:szCs w:val="28"/>
        </w:rPr>
        <w:t>В 2024 году проведен капитальный ремонт здания «Лыжная база» МБУС «Ледовый дворец», а также ремонтные работы в учреждениях спортивной направленности: ремонт фасада здания «ДЮСШ №2», ремонт фойе и замена лестницы спортивного клуба «Химик», замена дверных блоков на противопожарные двери и усиление конструкций чаши бассейна в здании ДЮСШ № 1, ремонт оборудования котельной спортивного комплекса «Сокольники».</w:t>
      </w:r>
    </w:p>
    <w:p w14:paraId="21F90703" w14:textId="369E13C8" w:rsidR="00BC6AA2" w:rsidRPr="006B190E" w:rsidRDefault="000A07D3" w:rsidP="000A07D3">
      <w:pPr>
        <w:pStyle w:val="a8"/>
        <w:spacing w:before="0" w:after="0"/>
        <w:ind w:firstLine="709"/>
        <w:jc w:val="both"/>
        <w:rPr>
          <w:rFonts w:eastAsia="Calibri"/>
          <w:sz w:val="28"/>
          <w:szCs w:val="28"/>
          <w:lang w:eastAsia="en-US"/>
        </w:rPr>
      </w:pPr>
      <w:r w:rsidRPr="006B190E">
        <w:rPr>
          <w:rFonts w:eastAsiaTheme="minorHAnsi" w:cstheme="minorBidi"/>
          <w:sz w:val="28"/>
          <w:szCs w:val="28"/>
          <w:lang w:eastAsia="en-US"/>
        </w:rPr>
        <w:t>В 2025 году будет проведен ремонт футбольного поля с искусственным покрытием стадиона «Химик». Заключен контракт от 03.04.2025 на сумму 22313,19 тыс.руб. Срок окончания работ – 08.08.2025 года.</w:t>
      </w:r>
    </w:p>
    <w:p w14:paraId="698EB29D" w14:textId="49E36800" w:rsidR="003D4901" w:rsidRPr="006B190E" w:rsidRDefault="003D4901" w:rsidP="003D4901">
      <w:pPr>
        <w:pStyle w:val="a8"/>
        <w:spacing w:before="0" w:after="0"/>
        <w:ind w:firstLine="709"/>
        <w:jc w:val="both"/>
        <w:rPr>
          <w:rFonts w:eastAsia="Calibri"/>
          <w:sz w:val="28"/>
          <w:szCs w:val="28"/>
          <w:lang w:eastAsia="en-US"/>
        </w:rPr>
      </w:pPr>
      <w:r w:rsidRPr="006B190E">
        <w:rPr>
          <w:sz w:val="28"/>
          <w:szCs w:val="28"/>
        </w:rPr>
        <w:t>Доля обучающихся, систематически занимающихся физической культурой и спортом, в общей численности обучающихся, составила в 202</w:t>
      </w:r>
      <w:r w:rsidR="00623110" w:rsidRPr="006B190E">
        <w:rPr>
          <w:sz w:val="28"/>
          <w:szCs w:val="28"/>
        </w:rPr>
        <w:t>4</w:t>
      </w:r>
      <w:r w:rsidRPr="006B190E">
        <w:rPr>
          <w:sz w:val="28"/>
          <w:szCs w:val="28"/>
        </w:rPr>
        <w:t xml:space="preserve"> году </w:t>
      </w:r>
      <w:r w:rsidR="00623110" w:rsidRPr="006B190E">
        <w:rPr>
          <w:sz w:val="28"/>
          <w:szCs w:val="28"/>
        </w:rPr>
        <w:t>97</w:t>
      </w:r>
      <w:r w:rsidRPr="006B190E">
        <w:rPr>
          <w:sz w:val="28"/>
          <w:szCs w:val="28"/>
        </w:rPr>
        <w:t>%.</w:t>
      </w:r>
      <w:r w:rsidRPr="006B190E">
        <w:rPr>
          <w:rFonts w:eastAsia="Calibri"/>
          <w:sz w:val="28"/>
          <w:szCs w:val="28"/>
          <w:lang w:eastAsia="en-US"/>
        </w:rPr>
        <w:t xml:space="preserve">  Большую часть этого показателя составляют школьники.</w:t>
      </w:r>
    </w:p>
    <w:p w14:paraId="26B0643F" w14:textId="77777777" w:rsidR="00A56502" w:rsidRPr="006B190E" w:rsidRDefault="00A56502" w:rsidP="003D4901">
      <w:pPr>
        <w:pStyle w:val="a8"/>
        <w:spacing w:before="0" w:after="0"/>
        <w:ind w:firstLine="709"/>
        <w:jc w:val="both"/>
        <w:rPr>
          <w:rFonts w:eastAsia="Calibri"/>
          <w:sz w:val="28"/>
          <w:szCs w:val="28"/>
          <w:lang w:eastAsia="en-US"/>
        </w:rPr>
      </w:pPr>
    </w:p>
    <w:p w14:paraId="58027CEF" w14:textId="77777777" w:rsidR="009C0AA9" w:rsidRPr="006B190E" w:rsidRDefault="00042D3F" w:rsidP="003D4901">
      <w:pPr>
        <w:pStyle w:val="a8"/>
        <w:spacing w:before="0" w:after="0"/>
        <w:ind w:firstLine="709"/>
        <w:jc w:val="both"/>
        <w:rPr>
          <w:rFonts w:eastAsia="Calibri"/>
          <w:b/>
          <w:sz w:val="28"/>
          <w:szCs w:val="28"/>
          <w:lang w:eastAsia="en-US"/>
        </w:rPr>
      </w:pPr>
      <w:r w:rsidRPr="006B190E">
        <w:rPr>
          <w:rFonts w:eastAsia="Calibri"/>
          <w:sz w:val="28"/>
          <w:szCs w:val="28"/>
          <w:lang w:eastAsia="en-US"/>
        </w:rPr>
        <w:t xml:space="preserve"> </w:t>
      </w:r>
      <w:r w:rsidR="00C10C5A" w:rsidRPr="006B190E">
        <w:rPr>
          <w:rFonts w:eastAsia="Calibri"/>
          <w:b/>
          <w:sz w:val="28"/>
          <w:szCs w:val="28"/>
          <w:lang w:val="en-US" w:eastAsia="en-US"/>
        </w:rPr>
        <w:t>VI</w:t>
      </w:r>
      <w:r w:rsidR="00C10C5A" w:rsidRPr="006B190E">
        <w:rPr>
          <w:rFonts w:eastAsia="Calibri"/>
          <w:b/>
          <w:sz w:val="28"/>
          <w:szCs w:val="28"/>
          <w:lang w:eastAsia="en-US"/>
        </w:rPr>
        <w:t xml:space="preserve">. </w:t>
      </w:r>
      <w:r w:rsidR="009C0AA9" w:rsidRPr="006B190E">
        <w:rPr>
          <w:rFonts w:eastAsia="Calibri"/>
          <w:b/>
          <w:sz w:val="28"/>
          <w:szCs w:val="28"/>
          <w:lang w:eastAsia="en-US"/>
        </w:rPr>
        <w:t>Жилищное строительство и обеспечение граждан жильем</w:t>
      </w:r>
    </w:p>
    <w:p w14:paraId="727FB191" w14:textId="56E6C0D4" w:rsidR="00511122" w:rsidRPr="006B190E" w:rsidRDefault="00042D3F" w:rsidP="00AD741B">
      <w:pPr>
        <w:pStyle w:val="a8"/>
        <w:spacing w:before="0" w:after="0"/>
        <w:ind w:firstLine="709"/>
        <w:jc w:val="both"/>
        <w:rPr>
          <w:rFonts w:eastAsia="Calibri"/>
          <w:sz w:val="28"/>
          <w:szCs w:val="28"/>
          <w:lang w:eastAsia="en-US"/>
        </w:rPr>
      </w:pPr>
      <w:r w:rsidRPr="006B190E">
        <w:rPr>
          <w:rFonts w:eastAsia="Calibri"/>
          <w:sz w:val="28"/>
          <w:szCs w:val="28"/>
          <w:lang w:eastAsia="en-US"/>
        </w:rPr>
        <w:t>2</w:t>
      </w:r>
      <w:r w:rsidR="006B190E" w:rsidRPr="006B190E">
        <w:rPr>
          <w:rFonts w:eastAsia="Calibri"/>
          <w:sz w:val="28"/>
          <w:szCs w:val="28"/>
          <w:lang w:eastAsia="en-US"/>
        </w:rPr>
        <w:t>3</w:t>
      </w:r>
      <w:r w:rsidR="00F15E1F" w:rsidRPr="006B190E">
        <w:rPr>
          <w:rFonts w:eastAsia="Calibri"/>
          <w:sz w:val="28"/>
          <w:szCs w:val="28"/>
          <w:lang w:eastAsia="en-US"/>
        </w:rPr>
        <w:t>.</w:t>
      </w:r>
      <w:r w:rsidR="000B47E9" w:rsidRPr="006B190E">
        <w:rPr>
          <w:rFonts w:eastAsia="Calibri"/>
          <w:sz w:val="28"/>
          <w:szCs w:val="28"/>
          <w:lang w:eastAsia="en-US"/>
        </w:rPr>
        <w:t xml:space="preserve"> </w:t>
      </w:r>
      <w:r w:rsidR="00AE4306" w:rsidRPr="006B190E">
        <w:rPr>
          <w:rFonts w:eastAsia="Calibri"/>
          <w:sz w:val="28"/>
          <w:szCs w:val="28"/>
          <w:lang w:eastAsia="en-US"/>
        </w:rPr>
        <w:t xml:space="preserve">Общая площадь </w:t>
      </w:r>
      <w:r w:rsidR="000A07D3" w:rsidRPr="006B190E">
        <w:rPr>
          <w:rFonts w:eastAsia="Calibri"/>
          <w:sz w:val="28"/>
          <w:szCs w:val="28"/>
          <w:lang w:eastAsia="en-US"/>
        </w:rPr>
        <w:t>у</w:t>
      </w:r>
      <w:r w:rsidR="003D4901" w:rsidRPr="006B190E">
        <w:rPr>
          <w:rFonts w:eastAsia="Calibri"/>
          <w:sz w:val="28"/>
          <w:szCs w:val="28"/>
          <w:lang w:eastAsia="en-US"/>
        </w:rPr>
        <w:t>велич</w:t>
      </w:r>
      <w:r w:rsidR="000A07D3" w:rsidRPr="006B190E">
        <w:rPr>
          <w:rFonts w:eastAsia="Calibri"/>
          <w:sz w:val="28"/>
          <w:szCs w:val="28"/>
          <w:lang w:eastAsia="en-US"/>
        </w:rPr>
        <w:t>илась</w:t>
      </w:r>
      <w:r w:rsidR="003D4901" w:rsidRPr="006B190E">
        <w:rPr>
          <w:rFonts w:eastAsia="Calibri"/>
          <w:sz w:val="28"/>
          <w:szCs w:val="28"/>
          <w:lang w:eastAsia="en-US"/>
        </w:rPr>
        <w:t xml:space="preserve"> за счет нового строительства.</w:t>
      </w:r>
    </w:p>
    <w:p w14:paraId="27CBF23A" w14:textId="7108C620" w:rsidR="007D2823" w:rsidRPr="006B190E" w:rsidRDefault="00042D3F" w:rsidP="00AD741B">
      <w:pPr>
        <w:pStyle w:val="a8"/>
        <w:spacing w:before="0" w:after="0"/>
        <w:ind w:firstLine="709"/>
        <w:jc w:val="both"/>
        <w:rPr>
          <w:rFonts w:eastAsia="Calibri"/>
          <w:sz w:val="28"/>
          <w:szCs w:val="28"/>
          <w:lang w:eastAsia="en-US"/>
        </w:rPr>
      </w:pPr>
      <w:r w:rsidRPr="006B190E">
        <w:rPr>
          <w:rFonts w:eastAsia="Calibri"/>
          <w:sz w:val="28"/>
          <w:szCs w:val="28"/>
          <w:lang w:eastAsia="en-US"/>
        </w:rPr>
        <w:t>2</w:t>
      </w:r>
      <w:r w:rsidR="006B190E" w:rsidRPr="006B190E">
        <w:rPr>
          <w:rFonts w:eastAsia="Calibri"/>
          <w:sz w:val="28"/>
          <w:szCs w:val="28"/>
          <w:lang w:eastAsia="en-US"/>
        </w:rPr>
        <w:t>4</w:t>
      </w:r>
      <w:r w:rsidR="003B0A7B" w:rsidRPr="006B190E">
        <w:rPr>
          <w:rFonts w:eastAsia="Calibri"/>
          <w:sz w:val="28"/>
          <w:szCs w:val="28"/>
          <w:lang w:eastAsia="en-US"/>
        </w:rPr>
        <w:t xml:space="preserve">. </w:t>
      </w:r>
      <w:r w:rsidR="000A07D3" w:rsidRPr="006B190E">
        <w:rPr>
          <w:sz w:val="28"/>
          <w:szCs w:val="28"/>
        </w:rPr>
        <w:t>Увеличение показателей по предоставлению земельных участков связано с покупательской активностью и с востребованностью земельных участков для индивидуального строительства как выгодной альтернативе приобретения городской недвижимости.</w:t>
      </w:r>
    </w:p>
    <w:p w14:paraId="561859EF" w14:textId="05787290" w:rsidR="00C10C5A" w:rsidRPr="006B190E" w:rsidRDefault="006E217B" w:rsidP="00AD741B">
      <w:pPr>
        <w:pStyle w:val="a6"/>
        <w:spacing w:after="0"/>
        <w:ind w:firstLine="709"/>
        <w:jc w:val="both"/>
        <w:rPr>
          <w:rFonts w:eastAsia="Calibri"/>
          <w:sz w:val="28"/>
          <w:szCs w:val="28"/>
          <w:lang w:eastAsia="en-US"/>
        </w:rPr>
      </w:pPr>
      <w:r w:rsidRPr="006B190E">
        <w:rPr>
          <w:sz w:val="28"/>
          <w:szCs w:val="28"/>
        </w:rPr>
        <w:t>2</w:t>
      </w:r>
      <w:r w:rsidR="006B190E" w:rsidRPr="006B190E">
        <w:rPr>
          <w:sz w:val="28"/>
          <w:szCs w:val="28"/>
        </w:rPr>
        <w:t>5</w:t>
      </w:r>
      <w:r w:rsidRPr="006B190E">
        <w:rPr>
          <w:sz w:val="28"/>
          <w:szCs w:val="28"/>
        </w:rPr>
        <w:t>.</w:t>
      </w:r>
      <w:r w:rsidR="005F5584" w:rsidRPr="006B190E">
        <w:rPr>
          <w:sz w:val="28"/>
          <w:szCs w:val="28"/>
        </w:rPr>
        <w:t xml:space="preserve"> </w:t>
      </w:r>
      <w:r w:rsidR="00AE4306" w:rsidRPr="006B190E">
        <w:rPr>
          <w:rFonts w:eastAsia="Calibri"/>
          <w:sz w:val="28"/>
          <w:szCs w:val="28"/>
          <w:lang w:eastAsia="en-US"/>
        </w:rPr>
        <w:t>З</w:t>
      </w:r>
      <w:r w:rsidR="00A90885" w:rsidRPr="006B190E">
        <w:rPr>
          <w:rFonts w:eastAsia="Calibri"/>
          <w:sz w:val="28"/>
          <w:szCs w:val="28"/>
          <w:lang w:eastAsia="en-US"/>
        </w:rPr>
        <w:t>начени</w:t>
      </w:r>
      <w:r w:rsidR="00AE4306" w:rsidRPr="006B190E">
        <w:rPr>
          <w:rFonts w:eastAsia="Calibri"/>
          <w:sz w:val="28"/>
          <w:szCs w:val="28"/>
          <w:lang w:eastAsia="en-US"/>
        </w:rPr>
        <w:t>е</w:t>
      </w:r>
      <w:r w:rsidR="00A90885" w:rsidRPr="006B190E">
        <w:rPr>
          <w:rFonts w:eastAsia="Calibri"/>
          <w:sz w:val="28"/>
          <w:szCs w:val="28"/>
          <w:lang w:eastAsia="en-US"/>
        </w:rPr>
        <w:t xml:space="preserve"> показателя объясняется сложной экономической обстановкой в стране, вызванной </w:t>
      </w:r>
      <w:r w:rsidR="00A56502" w:rsidRPr="006B190E">
        <w:rPr>
          <w:rFonts w:eastAsia="Calibri"/>
          <w:sz w:val="28"/>
          <w:szCs w:val="28"/>
          <w:lang w:eastAsia="en-US"/>
        </w:rPr>
        <w:t>современной геополитической ситуацией.</w:t>
      </w:r>
    </w:p>
    <w:p w14:paraId="7F3F0EDF" w14:textId="77777777" w:rsidR="00A56502" w:rsidRPr="006B190E" w:rsidRDefault="00A56502" w:rsidP="00C10C5A">
      <w:pPr>
        <w:pStyle w:val="a6"/>
        <w:spacing w:after="0"/>
        <w:jc w:val="center"/>
        <w:rPr>
          <w:rFonts w:eastAsia="Calibri"/>
          <w:b/>
          <w:sz w:val="28"/>
          <w:szCs w:val="28"/>
          <w:lang w:eastAsia="en-US"/>
        </w:rPr>
      </w:pPr>
    </w:p>
    <w:p w14:paraId="312A742E" w14:textId="77777777" w:rsidR="00C10C5A" w:rsidRPr="006B190E" w:rsidRDefault="00C10C5A" w:rsidP="00C10C5A">
      <w:pPr>
        <w:pStyle w:val="a6"/>
        <w:spacing w:after="0"/>
        <w:jc w:val="center"/>
        <w:rPr>
          <w:rFonts w:eastAsia="Calibri"/>
          <w:b/>
          <w:sz w:val="28"/>
          <w:szCs w:val="28"/>
          <w:lang w:eastAsia="en-US"/>
        </w:rPr>
      </w:pPr>
      <w:r w:rsidRPr="006B190E">
        <w:rPr>
          <w:rFonts w:eastAsia="Calibri"/>
          <w:b/>
          <w:sz w:val="28"/>
          <w:szCs w:val="28"/>
          <w:lang w:val="en-US" w:eastAsia="en-US"/>
        </w:rPr>
        <w:t>VII</w:t>
      </w:r>
      <w:r w:rsidRPr="006B190E">
        <w:rPr>
          <w:rFonts w:eastAsia="Calibri"/>
          <w:b/>
          <w:sz w:val="28"/>
          <w:szCs w:val="28"/>
          <w:lang w:eastAsia="en-US"/>
        </w:rPr>
        <w:t>. Жилищно-коммунальное хозяйство</w:t>
      </w:r>
    </w:p>
    <w:p w14:paraId="44B7C33B" w14:textId="552EC9AC" w:rsidR="00C93F94" w:rsidRPr="006B190E" w:rsidRDefault="00C93F94" w:rsidP="00AD741B">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2</w:t>
      </w:r>
      <w:r w:rsidR="006B190E" w:rsidRPr="006B190E">
        <w:rPr>
          <w:rFonts w:eastAsiaTheme="minorHAnsi"/>
          <w:sz w:val="28"/>
          <w:szCs w:val="28"/>
          <w:lang w:eastAsia="en-US"/>
        </w:rPr>
        <w:t>6</w:t>
      </w:r>
      <w:r w:rsidRPr="006B190E">
        <w:rPr>
          <w:rFonts w:eastAsiaTheme="minorHAnsi"/>
          <w:sz w:val="28"/>
          <w:szCs w:val="28"/>
          <w:lang w:eastAsia="en-US"/>
        </w:rPr>
        <w:t xml:space="preserve">. </w:t>
      </w:r>
      <w:r w:rsidR="003E2BFC" w:rsidRPr="006B190E">
        <w:rPr>
          <w:sz w:val="28"/>
          <w:szCs w:val="28"/>
        </w:rPr>
        <w:t>Доля многоквартирных домов в муниципальном образовании город Новомосковск,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составляет 100%.</w:t>
      </w:r>
    </w:p>
    <w:p w14:paraId="58C982F4" w14:textId="17752DA7" w:rsidR="00C93F94" w:rsidRPr="006B190E" w:rsidRDefault="00C93F94" w:rsidP="00AD741B">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2</w:t>
      </w:r>
      <w:r w:rsidR="006B190E" w:rsidRPr="006B190E">
        <w:rPr>
          <w:rFonts w:eastAsiaTheme="minorHAnsi"/>
          <w:sz w:val="28"/>
          <w:szCs w:val="28"/>
          <w:lang w:eastAsia="en-US"/>
        </w:rPr>
        <w:t>7</w:t>
      </w:r>
      <w:r w:rsidRPr="006B190E">
        <w:rPr>
          <w:rFonts w:eastAsiaTheme="minorHAnsi"/>
          <w:sz w:val="28"/>
          <w:szCs w:val="28"/>
          <w:lang w:eastAsia="en-US"/>
        </w:rPr>
        <w:t>.</w:t>
      </w:r>
      <w:r w:rsidR="00511122" w:rsidRPr="006B190E">
        <w:rPr>
          <w:sz w:val="28"/>
          <w:szCs w:val="28"/>
        </w:rPr>
        <w:t xml:space="preserve"> </w:t>
      </w:r>
      <w:r w:rsidR="003E2BFC" w:rsidRPr="006B190E">
        <w:rPr>
          <w:sz w:val="28"/>
          <w:szCs w:val="28"/>
        </w:rPr>
        <w:t xml:space="preserve">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w:t>
      </w:r>
      <w:r w:rsidR="003E2BFC" w:rsidRPr="006B190E">
        <w:rPr>
          <w:sz w:val="28"/>
          <w:szCs w:val="28"/>
        </w:rPr>
        <w:lastRenderedPageBreak/>
        <w:t>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составляет 80%.</w:t>
      </w:r>
    </w:p>
    <w:p w14:paraId="45B1A049" w14:textId="159B9613" w:rsidR="00511122" w:rsidRPr="006B190E" w:rsidRDefault="006E217B" w:rsidP="008A21A8">
      <w:pPr>
        <w:spacing w:after="0" w:line="240" w:lineRule="auto"/>
        <w:ind w:firstLine="709"/>
        <w:jc w:val="both"/>
        <w:rPr>
          <w:sz w:val="28"/>
          <w:szCs w:val="28"/>
        </w:rPr>
      </w:pPr>
      <w:r w:rsidRPr="006B190E">
        <w:rPr>
          <w:rFonts w:ascii="Times New Roman" w:hAnsi="Times New Roman" w:cs="Times New Roman"/>
          <w:sz w:val="28"/>
          <w:szCs w:val="28"/>
        </w:rPr>
        <w:t>2</w:t>
      </w:r>
      <w:r w:rsidR="006B190E" w:rsidRPr="006B190E">
        <w:rPr>
          <w:rFonts w:ascii="Times New Roman" w:hAnsi="Times New Roman" w:cs="Times New Roman"/>
          <w:sz w:val="28"/>
          <w:szCs w:val="28"/>
        </w:rPr>
        <w:t>8</w:t>
      </w:r>
      <w:r w:rsidRPr="006B190E">
        <w:rPr>
          <w:rFonts w:ascii="Times New Roman" w:hAnsi="Times New Roman" w:cs="Times New Roman"/>
          <w:sz w:val="28"/>
          <w:szCs w:val="28"/>
        </w:rPr>
        <w:t>.</w:t>
      </w:r>
      <w:r w:rsidR="001F31F2" w:rsidRPr="006B190E">
        <w:rPr>
          <w:sz w:val="28"/>
          <w:szCs w:val="28"/>
        </w:rPr>
        <w:t xml:space="preserve"> </w:t>
      </w:r>
      <w:r w:rsidR="000A07D3" w:rsidRPr="006B190E">
        <w:rPr>
          <w:rFonts w:ascii="Times New Roman" w:eastAsia="Calibri" w:hAnsi="Times New Roman" w:cs="Times New Roman"/>
          <w:sz w:val="28"/>
          <w:szCs w:val="28"/>
        </w:rPr>
        <w:t xml:space="preserve">Всего учтено 1314 многоквартирных жилых домов. Сведения о 1155 земельных участках под многоквартирными жилыми домами внесены в Единый государственный реестр недвижимости, что составляет 87,89% от общего количества многоквартирных жилых домов. Учитывая сложившуюся тенденцию роста </w:t>
      </w:r>
      <w:proofErr w:type="gramStart"/>
      <w:r w:rsidR="000A07D3" w:rsidRPr="006B190E">
        <w:rPr>
          <w:rFonts w:ascii="Times New Roman" w:eastAsia="Calibri" w:hAnsi="Times New Roman" w:cs="Times New Roman"/>
          <w:sz w:val="28"/>
          <w:szCs w:val="28"/>
        </w:rPr>
        <w:t>количества</w:t>
      </w:r>
      <w:proofErr w:type="gramEnd"/>
      <w:r w:rsidR="000A07D3" w:rsidRPr="006B190E">
        <w:rPr>
          <w:rFonts w:ascii="Times New Roman" w:eastAsia="Calibri" w:hAnsi="Times New Roman" w:cs="Times New Roman"/>
          <w:sz w:val="28"/>
          <w:szCs w:val="28"/>
        </w:rPr>
        <w:t xml:space="preserve"> поставленных на государственный кадастровый учет земельных участков под многоквартирными жилыми домами – 1%, прогноз на 2025-2027 гг. также оставлен на уровне 0,9-1,5%.</w:t>
      </w:r>
    </w:p>
    <w:p w14:paraId="43A08FE0" w14:textId="3D7052B8" w:rsidR="006B190E" w:rsidRPr="006B190E" w:rsidRDefault="006B190E" w:rsidP="006B190E">
      <w:pPr>
        <w:spacing w:after="0" w:line="240" w:lineRule="auto"/>
        <w:ind w:firstLine="709"/>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29</w:t>
      </w:r>
      <w:r w:rsidR="006E217B" w:rsidRPr="006B190E">
        <w:rPr>
          <w:rFonts w:ascii="Times New Roman" w:eastAsia="Calibri" w:hAnsi="Times New Roman" w:cs="Times New Roman"/>
          <w:sz w:val="28"/>
          <w:szCs w:val="28"/>
        </w:rPr>
        <w:t>.</w:t>
      </w:r>
      <w:r w:rsidR="00A0533D" w:rsidRPr="006B190E">
        <w:rPr>
          <w:rFonts w:ascii="Times New Roman" w:eastAsia="Calibri" w:hAnsi="Times New Roman" w:cs="Times New Roman"/>
          <w:sz w:val="28"/>
          <w:szCs w:val="28"/>
        </w:rPr>
        <w:t xml:space="preserve"> </w:t>
      </w:r>
      <w:r w:rsidRPr="006B190E">
        <w:rPr>
          <w:rFonts w:ascii="Times New Roman" w:eastAsia="Calibri" w:hAnsi="Times New Roman" w:cs="Times New Roman"/>
          <w:sz w:val="28"/>
          <w:szCs w:val="28"/>
        </w:rPr>
        <w:t>В муниципальном образовании город Новомосковск на 01.01.2025 состоит на учете в качестве нуждающихся в жилых помещениях 347 семей или 1146 человек, что составляет 0,86% от общей численности населения муниципального образования.</w:t>
      </w:r>
    </w:p>
    <w:p w14:paraId="01BC53A7" w14:textId="77777777" w:rsidR="006B190E" w:rsidRPr="006B190E" w:rsidRDefault="006B190E" w:rsidP="006B190E">
      <w:pPr>
        <w:spacing w:after="0" w:line="240" w:lineRule="auto"/>
        <w:ind w:firstLine="709"/>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Граждане, состоящие на учете в качестве нуждающихся в жилых помещениях, могут улучшать свои жилищные условия следующими способами:</w:t>
      </w:r>
    </w:p>
    <w:p w14:paraId="30E1E7E3" w14:textId="77777777" w:rsidR="006B190E" w:rsidRPr="006B190E" w:rsidRDefault="006B190E" w:rsidP="006B190E">
      <w:pPr>
        <w:spacing w:after="0" w:line="240" w:lineRule="auto"/>
        <w:ind w:firstLine="709"/>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 приобретение собственного жилья;</w:t>
      </w:r>
    </w:p>
    <w:p w14:paraId="6589CE79" w14:textId="77777777" w:rsidR="006B190E" w:rsidRPr="006B190E" w:rsidRDefault="006B190E" w:rsidP="006B190E">
      <w:pPr>
        <w:spacing w:after="0" w:line="240" w:lineRule="auto"/>
        <w:ind w:firstLine="709"/>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 предоставление жилых помещений органами местного самоуправления;</w:t>
      </w:r>
    </w:p>
    <w:p w14:paraId="72C2F516" w14:textId="77777777" w:rsidR="006B190E" w:rsidRPr="006B190E" w:rsidRDefault="006B190E" w:rsidP="006B190E">
      <w:pPr>
        <w:spacing w:after="0" w:line="240" w:lineRule="auto"/>
        <w:ind w:firstLine="709"/>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 приобретение жилых помещений за счет мер социальной поддержки по обеспечению жильем отдельных категорий граждан (ветеранов, инвалидов и семей, имеющих детей-инвалидов, многодетные семьи,);</w:t>
      </w:r>
    </w:p>
    <w:p w14:paraId="3C4133DF" w14:textId="77777777" w:rsidR="006B190E" w:rsidRPr="006B190E" w:rsidRDefault="006B190E" w:rsidP="006B190E">
      <w:pPr>
        <w:spacing w:after="0" w:line="240" w:lineRule="auto"/>
        <w:ind w:firstLine="709"/>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 предоставление жилых помещений в рамках программы по переселению граждан из аварийного жилищного фонда.</w:t>
      </w:r>
    </w:p>
    <w:p w14:paraId="2C6FB4A0" w14:textId="77777777" w:rsidR="006B190E" w:rsidRPr="006B190E" w:rsidRDefault="006B190E" w:rsidP="006B190E">
      <w:pPr>
        <w:spacing w:after="0" w:line="240" w:lineRule="auto"/>
        <w:ind w:firstLine="709"/>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В 2024 году принято на учет в качестве нуждающихся в жилых помещениях 7 семей/34 человека, из которых 4 семей относятся к категории многодетных.</w:t>
      </w:r>
    </w:p>
    <w:p w14:paraId="547123F5" w14:textId="77777777" w:rsidR="006B190E" w:rsidRPr="006B190E" w:rsidRDefault="006B190E" w:rsidP="006B190E">
      <w:pPr>
        <w:spacing w:after="0" w:line="240" w:lineRule="auto"/>
        <w:ind w:firstLine="709"/>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За период 2024 года снято с учета нуждающихся в жилых помещениях 186 семей/597 человек. В указанное количество входят граждане, которые самостоятельно улучшили свои жилищные условия, получили жилые помещения от органа местного самоуправления (администрации муниципального образования город Новомосковск), граждане, улучшившие свои жилищные условия за счет предоставления социальных выплат из областного и федерального бюджетов, граждане, переселенные из аварийного жилищного фонда.</w:t>
      </w:r>
    </w:p>
    <w:p w14:paraId="137D52EF" w14:textId="77777777" w:rsidR="006B190E" w:rsidRPr="006B190E" w:rsidRDefault="006B190E" w:rsidP="006B190E">
      <w:pPr>
        <w:spacing w:after="0" w:line="240" w:lineRule="auto"/>
        <w:ind w:firstLine="709"/>
        <w:jc w:val="both"/>
        <w:rPr>
          <w:rFonts w:ascii="Times New Roman" w:eastAsia="Calibri" w:hAnsi="Times New Roman" w:cs="Times New Roman"/>
          <w:sz w:val="28"/>
          <w:szCs w:val="28"/>
        </w:rPr>
      </w:pPr>
      <w:r w:rsidRPr="006B190E">
        <w:rPr>
          <w:rFonts w:ascii="Times New Roman" w:eastAsia="Calibri" w:hAnsi="Times New Roman" w:cs="Times New Roman"/>
          <w:sz w:val="28"/>
          <w:szCs w:val="28"/>
        </w:rPr>
        <w:t>Таким образом, доля населения, получившего жилые помещения и улучшившего жилищные условия в отчетном 2024 году, в общей численности населения, состоящего на учете в качестве нуждающегося в жилых помещениях.</w:t>
      </w:r>
    </w:p>
    <w:p w14:paraId="146D09F2" w14:textId="5D2DDDBD" w:rsidR="00C10C5A" w:rsidRPr="006B190E" w:rsidRDefault="00C10C5A" w:rsidP="006B190E">
      <w:pPr>
        <w:spacing w:after="0" w:line="240" w:lineRule="auto"/>
        <w:ind w:firstLine="709"/>
        <w:jc w:val="both"/>
        <w:rPr>
          <w:rFonts w:ascii="Times New Roman" w:eastAsia="Times New Roman" w:hAnsi="Times New Roman"/>
          <w:sz w:val="28"/>
          <w:szCs w:val="28"/>
          <w:lang w:eastAsia="ru-RU"/>
        </w:rPr>
      </w:pPr>
    </w:p>
    <w:p w14:paraId="3623405D" w14:textId="77777777" w:rsidR="00C10C5A" w:rsidRPr="006B190E" w:rsidRDefault="00C10C5A" w:rsidP="00C10C5A">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B190E">
        <w:rPr>
          <w:rFonts w:ascii="Times New Roman" w:eastAsia="Times New Roman" w:hAnsi="Times New Roman" w:cs="Times New Roman"/>
          <w:b/>
          <w:sz w:val="28"/>
          <w:szCs w:val="28"/>
          <w:lang w:val="en-US" w:eastAsia="ru-RU"/>
        </w:rPr>
        <w:t>VIII</w:t>
      </w:r>
      <w:r w:rsidRPr="006B190E">
        <w:rPr>
          <w:rFonts w:ascii="Times New Roman" w:eastAsia="Times New Roman" w:hAnsi="Times New Roman" w:cs="Times New Roman"/>
          <w:b/>
          <w:sz w:val="28"/>
          <w:szCs w:val="28"/>
          <w:lang w:eastAsia="ru-RU"/>
        </w:rPr>
        <w:t>. Организация муниципального управления</w:t>
      </w:r>
    </w:p>
    <w:p w14:paraId="1F4F5EE9" w14:textId="2C58E4F5" w:rsidR="000A07D3" w:rsidRPr="006B190E" w:rsidRDefault="006E217B"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3</w:t>
      </w:r>
      <w:r w:rsidR="006B190E" w:rsidRPr="006B190E">
        <w:rPr>
          <w:rFonts w:ascii="Times New Roman" w:hAnsi="Times New Roman"/>
          <w:sz w:val="28"/>
          <w:szCs w:val="28"/>
        </w:rPr>
        <w:t>0</w:t>
      </w:r>
      <w:r w:rsidRPr="006B190E">
        <w:rPr>
          <w:rFonts w:ascii="Times New Roman" w:hAnsi="Times New Roman"/>
          <w:sz w:val="28"/>
          <w:szCs w:val="28"/>
        </w:rPr>
        <w:t>.</w:t>
      </w:r>
      <w:r w:rsidR="00F8083E" w:rsidRPr="006B190E">
        <w:rPr>
          <w:rFonts w:ascii="Times New Roman" w:hAnsi="Times New Roman"/>
          <w:sz w:val="28"/>
          <w:szCs w:val="28"/>
        </w:rPr>
        <w:t xml:space="preserve"> </w:t>
      </w:r>
      <w:r w:rsidR="000A07D3" w:rsidRPr="006B190E">
        <w:rPr>
          <w:rFonts w:ascii="Times New Roman" w:hAnsi="Times New Roman"/>
          <w:sz w:val="28"/>
          <w:szCs w:val="28"/>
        </w:rPr>
        <w:t>Увеличение поступлений бюджета в части налоговых и неналоговых доходов за 2024 год по сравнению с 2023 годом произошло за счет:</w:t>
      </w:r>
    </w:p>
    <w:p w14:paraId="42F8CDA3"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роста фонда оплаты труда, и как следствие увеличение поступлений налога на доходы физических лиц;</w:t>
      </w:r>
    </w:p>
    <w:p w14:paraId="5DF5BA82"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lastRenderedPageBreak/>
        <w:t>- увеличения поступлений от уплаты акцизов;</w:t>
      </w:r>
    </w:p>
    <w:p w14:paraId="3700F454"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увеличения поступлений налога, взимаемого в связи с применением упрощенной системы налогообложения;</w:t>
      </w:r>
    </w:p>
    <w:p w14:paraId="3AAA11F5"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увеличения поступлений налога, взимаемого в связи с применением патентной системы налогообложения;</w:t>
      </w:r>
    </w:p>
    <w:p w14:paraId="297FBCDF"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увеличения поступлений налога на имущество организаций;</w:t>
      </w:r>
    </w:p>
    <w:p w14:paraId="247D7AD3"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увеличения поступлений земельного налога с организаций;</w:t>
      </w:r>
    </w:p>
    <w:p w14:paraId="7CDDB2E3"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увеличение поступлений от государственной пошлины;</w:t>
      </w:r>
    </w:p>
    <w:p w14:paraId="60249E2E"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увеличения поступлений от доходов, получаемых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14:paraId="77D54451"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увеличение поступлений за платежи при пользовании природными ресурсами;</w:t>
      </w:r>
    </w:p>
    <w:p w14:paraId="4BAAD00F"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увеличение поступлений от продажи материальных и нематериальных активов;</w:t>
      </w:r>
    </w:p>
    <w:p w14:paraId="72FCBA5E"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увеличение поступлений от штрафов, санкций, возмещения ущерба;</w:t>
      </w:r>
    </w:p>
    <w:p w14:paraId="6486B011" w14:textId="7777777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увеличение поступлений от прочих неналоговых доходов.</w:t>
      </w:r>
    </w:p>
    <w:p w14:paraId="1E1D6933" w14:textId="2AC3EE07" w:rsidR="000A07D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В части безвозмездных поступлений от других бюджетов бюджетной системы Российской Федерации:</w:t>
      </w:r>
    </w:p>
    <w:p w14:paraId="7A34236A" w14:textId="69598804" w:rsidR="007D2823" w:rsidRPr="006B190E" w:rsidRDefault="000A07D3" w:rsidP="000A07D3">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 увеличение межбюджетных трансфертов по субсидиям, субвенциям, иным межбюджетным трансфертам.</w:t>
      </w:r>
    </w:p>
    <w:p w14:paraId="0A4DAC6D" w14:textId="3F9BDF63" w:rsidR="00D25A18" w:rsidRPr="006B190E" w:rsidRDefault="006E217B" w:rsidP="00D25A18">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3</w:t>
      </w:r>
      <w:r w:rsidR="006B190E" w:rsidRPr="006B190E">
        <w:rPr>
          <w:rFonts w:ascii="Times New Roman" w:hAnsi="Times New Roman"/>
          <w:sz w:val="28"/>
          <w:szCs w:val="28"/>
        </w:rPr>
        <w:t>1</w:t>
      </w:r>
      <w:r w:rsidRPr="006B190E">
        <w:rPr>
          <w:rFonts w:ascii="Times New Roman" w:hAnsi="Times New Roman"/>
          <w:sz w:val="28"/>
          <w:szCs w:val="28"/>
        </w:rPr>
        <w:t>.</w:t>
      </w:r>
      <w:r w:rsidR="00D365D2" w:rsidRPr="006B190E">
        <w:rPr>
          <w:rFonts w:ascii="Times New Roman" w:hAnsi="Times New Roman"/>
          <w:sz w:val="28"/>
          <w:szCs w:val="28"/>
        </w:rPr>
        <w:t xml:space="preserve"> </w:t>
      </w:r>
      <w:r w:rsidR="00312C4D" w:rsidRPr="006B190E">
        <w:rPr>
          <w:rFonts w:ascii="Times New Roman" w:hAnsi="Times New Roman"/>
          <w:sz w:val="28"/>
          <w:szCs w:val="28"/>
        </w:rPr>
        <w:t>Значение показателя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отражающего эффективность деятельности муниципального образования город Новомосковск,</w:t>
      </w:r>
      <w:r w:rsidR="006B190E" w:rsidRPr="006B190E">
        <w:rPr>
          <w:rFonts w:ascii="Times New Roman" w:hAnsi="Times New Roman"/>
          <w:sz w:val="28"/>
          <w:szCs w:val="28"/>
        </w:rPr>
        <w:t xml:space="preserve"> </w:t>
      </w:r>
      <w:r w:rsidR="00D25A18" w:rsidRPr="006B190E">
        <w:rPr>
          <w:rFonts w:ascii="Times New Roman" w:hAnsi="Times New Roman"/>
          <w:sz w:val="28"/>
          <w:szCs w:val="28"/>
        </w:rPr>
        <w:t xml:space="preserve">по состоянию на 31.12.2024 год уменьшилось на 0,20 % по сравнению с запланированным 0,20 % и составило 0,0 %. </w:t>
      </w:r>
    </w:p>
    <w:p w14:paraId="6163452A" w14:textId="60DC805A" w:rsidR="001038C6" w:rsidRPr="006B190E" w:rsidRDefault="00D25A18" w:rsidP="00D25A18">
      <w:pPr>
        <w:tabs>
          <w:tab w:val="left" w:pos="567"/>
        </w:tabs>
        <w:spacing w:after="0" w:line="240" w:lineRule="auto"/>
        <w:ind w:firstLine="709"/>
        <w:jc w:val="both"/>
        <w:rPr>
          <w:rFonts w:ascii="Times New Roman" w:hAnsi="Times New Roman"/>
          <w:sz w:val="28"/>
          <w:szCs w:val="28"/>
        </w:rPr>
      </w:pPr>
      <w:r w:rsidRPr="006B190E">
        <w:rPr>
          <w:rFonts w:ascii="Times New Roman" w:hAnsi="Times New Roman"/>
          <w:sz w:val="28"/>
          <w:szCs w:val="28"/>
        </w:rPr>
        <w:t>Уменьшение значения показателя № 31 произошло за счет того, что стоимость конкурсной массы предприятия – банкрота равна 0.</w:t>
      </w:r>
    </w:p>
    <w:p w14:paraId="38614C47" w14:textId="77777777" w:rsidR="00970900" w:rsidRPr="006B190E" w:rsidRDefault="006E217B" w:rsidP="00AD741B">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3</w:t>
      </w:r>
      <w:r w:rsidR="003E1400" w:rsidRPr="006B190E">
        <w:rPr>
          <w:rFonts w:eastAsiaTheme="minorHAnsi"/>
          <w:sz w:val="28"/>
          <w:szCs w:val="28"/>
          <w:lang w:eastAsia="en-US"/>
        </w:rPr>
        <w:t>3</w:t>
      </w:r>
      <w:r w:rsidRPr="006B190E">
        <w:rPr>
          <w:rFonts w:eastAsiaTheme="minorHAnsi"/>
          <w:sz w:val="28"/>
          <w:szCs w:val="28"/>
          <w:lang w:eastAsia="en-US"/>
        </w:rPr>
        <w:t>.</w:t>
      </w:r>
      <w:r w:rsidR="005F5584" w:rsidRPr="006B190E">
        <w:rPr>
          <w:rFonts w:eastAsiaTheme="minorHAnsi"/>
          <w:sz w:val="28"/>
          <w:szCs w:val="28"/>
          <w:lang w:eastAsia="en-US"/>
        </w:rPr>
        <w:t xml:space="preserve"> </w:t>
      </w:r>
      <w:r w:rsidR="004D2100" w:rsidRPr="006B190E">
        <w:rPr>
          <w:rFonts w:eastAsiaTheme="minorHAnsi"/>
          <w:sz w:val="28"/>
          <w:szCs w:val="28"/>
          <w:lang w:eastAsia="en-US"/>
        </w:rPr>
        <w:t>В</w:t>
      </w:r>
      <w:r w:rsidR="009B0CF4" w:rsidRPr="006B190E">
        <w:rPr>
          <w:rFonts w:eastAsiaTheme="minorHAnsi"/>
          <w:sz w:val="28"/>
          <w:szCs w:val="28"/>
          <w:lang w:eastAsia="en-US"/>
        </w:rPr>
        <w:t xml:space="preserve"> соответствии с приказом Минфина РФ от 02.11.2</w:t>
      </w:r>
      <w:r w:rsidR="004D2100" w:rsidRPr="006B190E">
        <w:rPr>
          <w:rFonts w:eastAsiaTheme="minorHAnsi"/>
          <w:sz w:val="28"/>
          <w:szCs w:val="28"/>
          <w:lang w:eastAsia="en-US"/>
        </w:rPr>
        <w:t>017 №176н «О внесении изменений в инструкцию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утвержденную приказом Министерства финансов Российской Федерации от 28 декабря 2010 г. N 191</w:t>
      </w:r>
      <w:r w:rsidR="001038C6" w:rsidRPr="006B190E">
        <w:rPr>
          <w:rFonts w:eastAsiaTheme="minorHAnsi"/>
          <w:sz w:val="28"/>
          <w:szCs w:val="28"/>
          <w:lang w:eastAsia="en-US"/>
        </w:rPr>
        <w:t>н» объекты</w:t>
      </w:r>
      <w:r w:rsidR="009B0CF4" w:rsidRPr="006B190E">
        <w:rPr>
          <w:rFonts w:eastAsiaTheme="minorHAnsi"/>
          <w:sz w:val="28"/>
          <w:szCs w:val="28"/>
          <w:lang w:eastAsia="en-US"/>
        </w:rPr>
        <w:t xml:space="preserve">, физически </w:t>
      </w:r>
      <w:r w:rsidR="004D2100" w:rsidRPr="006B190E">
        <w:rPr>
          <w:rFonts w:eastAsiaTheme="minorHAnsi"/>
          <w:sz w:val="28"/>
          <w:szCs w:val="28"/>
          <w:lang w:eastAsia="en-US"/>
        </w:rPr>
        <w:t xml:space="preserve">построенные, но не переданные в казну, подлежат указанию в отчетности как объекты незавершенного строительства. </w:t>
      </w:r>
    </w:p>
    <w:p w14:paraId="4750C288" w14:textId="35FE537B" w:rsidR="00707691" w:rsidRPr="006B190E" w:rsidRDefault="00590B32" w:rsidP="000A07D3">
      <w:pPr>
        <w:pStyle w:val="a8"/>
        <w:spacing w:before="0" w:after="0"/>
        <w:ind w:firstLine="709"/>
        <w:jc w:val="both"/>
        <w:rPr>
          <w:sz w:val="28"/>
          <w:szCs w:val="28"/>
        </w:rPr>
      </w:pPr>
      <w:r w:rsidRPr="006B190E">
        <w:rPr>
          <w:rFonts w:eastAsiaTheme="minorHAnsi"/>
          <w:sz w:val="28"/>
          <w:szCs w:val="28"/>
          <w:lang w:eastAsia="en-US"/>
        </w:rPr>
        <w:t xml:space="preserve">В текущем </w:t>
      </w:r>
      <w:r w:rsidR="00707691" w:rsidRPr="006B190E">
        <w:rPr>
          <w:rFonts w:eastAsiaTheme="minorHAnsi"/>
          <w:sz w:val="28"/>
          <w:szCs w:val="28"/>
          <w:lang w:eastAsia="en-US"/>
        </w:rPr>
        <w:t>году в рамках регионального проекта «Чистая вода» входящего в национальный проект «Жилье и городская среда» завершено строительство станции водоподготовки в п.Красный Богатырь. Общая стоимость строительства объекта составила 103</w:t>
      </w:r>
      <w:r w:rsidR="00BE2DF4">
        <w:rPr>
          <w:rFonts w:eastAsiaTheme="minorHAnsi"/>
          <w:sz w:val="28"/>
          <w:szCs w:val="28"/>
          <w:lang w:eastAsia="en-US"/>
        </w:rPr>
        <w:t xml:space="preserve"> </w:t>
      </w:r>
      <w:r w:rsidR="00707691" w:rsidRPr="006B190E">
        <w:rPr>
          <w:rFonts w:eastAsiaTheme="minorHAnsi"/>
          <w:sz w:val="28"/>
          <w:szCs w:val="28"/>
          <w:lang w:eastAsia="en-US"/>
        </w:rPr>
        <w:t xml:space="preserve">485,0 тыс. рублей. Источники финансирования: федеральный бюджет </w:t>
      </w:r>
      <w:r w:rsidRPr="006B190E">
        <w:rPr>
          <w:rFonts w:eastAsiaTheme="minorHAnsi"/>
          <w:sz w:val="28"/>
          <w:szCs w:val="28"/>
          <w:lang w:eastAsia="en-US"/>
        </w:rPr>
        <w:t xml:space="preserve">- </w:t>
      </w:r>
      <w:r w:rsidR="00707691" w:rsidRPr="006B190E">
        <w:rPr>
          <w:rFonts w:eastAsiaTheme="minorHAnsi"/>
          <w:sz w:val="28"/>
          <w:szCs w:val="28"/>
          <w:lang w:eastAsia="en-US"/>
        </w:rPr>
        <w:t>91 922,0 тыс. руб., бюджет Тульской области</w:t>
      </w:r>
      <w:r w:rsidR="00705E12" w:rsidRPr="006B190E">
        <w:rPr>
          <w:rFonts w:eastAsiaTheme="minorHAnsi"/>
          <w:sz w:val="28"/>
          <w:szCs w:val="28"/>
          <w:lang w:eastAsia="en-US"/>
        </w:rPr>
        <w:t xml:space="preserve"> -</w:t>
      </w:r>
      <w:r w:rsidR="00707691" w:rsidRPr="006B190E">
        <w:rPr>
          <w:rFonts w:eastAsiaTheme="minorHAnsi"/>
          <w:sz w:val="28"/>
          <w:szCs w:val="28"/>
          <w:lang w:eastAsia="en-US"/>
        </w:rPr>
        <w:t xml:space="preserve"> 7 260,2 </w:t>
      </w:r>
      <w:r w:rsidR="00707691" w:rsidRPr="006B190E">
        <w:rPr>
          <w:rFonts w:eastAsiaTheme="minorHAnsi"/>
          <w:sz w:val="28"/>
          <w:szCs w:val="28"/>
          <w:lang w:eastAsia="en-US"/>
        </w:rPr>
        <w:lastRenderedPageBreak/>
        <w:t>тыс. руб., местный бюджет</w:t>
      </w:r>
      <w:r w:rsidR="00705E12" w:rsidRPr="006B190E">
        <w:rPr>
          <w:rFonts w:eastAsiaTheme="minorHAnsi"/>
          <w:sz w:val="28"/>
          <w:szCs w:val="28"/>
          <w:lang w:eastAsia="en-US"/>
        </w:rPr>
        <w:t xml:space="preserve"> -</w:t>
      </w:r>
      <w:r w:rsidR="00707691" w:rsidRPr="006B190E">
        <w:rPr>
          <w:rFonts w:eastAsiaTheme="minorHAnsi"/>
          <w:sz w:val="28"/>
          <w:szCs w:val="28"/>
          <w:lang w:eastAsia="en-US"/>
        </w:rPr>
        <w:t xml:space="preserve"> 4 302,8 тыс. руб. Объект введен в эксплуатацию в IV квартале 2024 года</w:t>
      </w:r>
      <w:r w:rsidR="00707691" w:rsidRPr="006B190E">
        <w:rPr>
          <w:sz w:val="28"/>
          <w:szCs w:val="28"/>
        </w:rPr>
        <w:t>.</w:t>
      </w:r>
    </w:p>
    <w:p w14:paraId="0043AE48" w14:textId="77777777" w:rsidR="006E217B" w:rsidRPr="006B190E" w:rsidRDefault="00F832D8" w:rsidP="00AD741B">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 xml:space="preserve"> </w:t>
      </w:r>
      <w:r w:rsidR="006E217B" w:rsidRPr="006B190E">
        <w:rPr>
          <w:rFonts w:eastAsiaTheme="minorHAnsi"/>
          <w:sz w:val="28"/>
          <w:szCs w:val="28"/>
          <w:lang w:eastAsia="en-US"/>
        </w:rPr>
        <w:t>3</w:t>
      </w:r>
      <w:r w:rsidR="00687190" w:rsidRPr="006B190E">
        <w:rPr>
          <w:rFonts w:eastAsiaTheme="minorHAnsi"/>
          <w:sz w:val="28"/>
          <w:szCs w:val="28"/>
          <w:lang w:eastAsia="en-US"/>
        </w:rPr>
        <w:t>4</w:t>
      </w:r>
      <w:r w:rsidR="006E217B" w:rsidRPr="006B190E">
        <w:rPr>
          <w:rFonts w:eastAsiaTheme="minorHAnsi"/>
          <w:sz w:val="28"/>
          <w:szCs w:val="28"/>
          <w:lang w:eastAsia="en-US"/>
        </w:rPr>
        <w:t>.</w:t>
      </w:r>
      <w:r w:rsidR="00082F72" w:rsidRPr="006B190E">
        <w:rPr>
          <w:rFonts w:eastAsiaTheme="minorHAnsi"/>
          <w:sz w:val="28"/>
          <w:szCs w:val="28"/>
          <w:lang w:eastAsia="en-US"/>
        </w:rPr>
        <w:t xml:space="preserve"> Просроченная кредиторская задолженность по оплате труда в муниципальных учреждениях отсутствует.</w:t>
      </w:r>
    </w:p>
    <w:p w14:paraId="3F81AF96" w14:textId="10E6FF30" w:rsidR="00FF30DC" w:rsidRPr="006B190E" w:rsidRDefault="006E217B" w:rsidP="00AD741B">
      <w:pPr>
        <w:pStyle w:val="a8"/>
        <w:spacing w:before="0" w:after="0"/>
        <w:ind w:firstLine="709"/>
        <w:jc w:val="both"/>
        <w:rPr>
          <w:sz w:val="28"/>
          <w:szCs w:val="28"/>
        </w:rPr>
      </w:pPr>
      <w:r w:rsidRPr="006B190E">
        <w:rPr>
          <w:rFonts w:eastAsiaTheme="minorHAnsi"/>
          <w:sz w:val="28"/>
          <w:szCs w:val="28"/>
          <w:lang w:eastAsia="en-US"/>
        </w:rPr>
        <w:t>3</w:t>
      </w:r>
      <w:r w:rsidR="00687190" w:rsidRPr="006B190E">
        <w:rPr>
          <w:rFonts w:eastAsiaTheme="minorHAnsi"/>
          <w:sz w:val="28"/>
          <w:szCs w:val="28"/>
          <w:lang w:eastAsia="en-US"/>
        </w:rPr>
        <w:t>5</w:t>
      </w:r>
      <w:r w:rsidRPr="006B190E">
        <w:rPr>
          <w:rFonts w:eastAsiaTheme="minorHAnsi"/>
          <w:sz w:val="28"/>
          <w:szCs w:val="28"/>
          <w:lang w:eastAsia="en-US"/>
        </w:rPr>
        <w:t>.</w:t>
      </w:r>
      <w:r w:rsidR="00F8083E" w:rsidRPr="006B190E">
        <w:rPr>
          <w:rFonts w:eastAsiaTheme="minorHAnsi"/>
          <w:sz w:val="28"/>
          <w:szCs w:val="28"/>
          <w:lang w:eastAsia="en-US"/>
        </w:rPr>
        <w:t xml:space="preserve"> </w:t>
      </w:r>
      <w:r w:rsidR="00FF30DC" w:rsidRPr="006B190E">
        <w:rPr>
          <w:sz w:val="28"/>
          <w:szCs w:val="28"/>
        </w:rPr>
        <w:t>Увеличение 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20</w:t>
      </w:r>
      <w:r w:rsidR="00BC6AA2" w:rsidRPr="006B190E">
        <w:rPr>
          <w:sz w:val="28"/>
          <w:szCs w:val="28"/>
        </w:rPr>
        <w:t>2</w:t>
      </w:r>
      <w:r w:rsidR="000A07D3" w:rsidRPr="006B190E">
        <w:rPr>
          <w:sz w:val="28"/>
          <w:szCs w:val="28"/>
        </w:rPr>
        <w:t>4</w:t>
      </w:r>
      <w:r w:rsidR="00FF30DC" w:rsidRPr="006B190E">
        <w:rPr>
          <w:sz w:val="28"/>
          <w:szCs w:val="28"/>
        </w:rPr>
        <w:t xml:space="preserve"> г. по сравнению с 20</w:t>
      </w:r>
      <w:r w:rsidR="00945D38" w:rsidRPr="006B190E">
        <w:rPr>
          <w:sz w:val="28"/>
          <w:szCs w:val="28"/>
        </w:rPr>
        <w:t>2</w:t>
      </w:r>
      <w:r w:rsidR="000A07D3" w:rsidRPr="006B190E">
        <w:rPr>
          <w:sz w:val="28"/>
          <w:szCs w:val="28"/>
        </w:rPr>
        <w:t>3</w:t>
      </w:r>
      <w:r w:rsidR="00FF30DC" w:rsidRPr="006B190E">
        <w:rPr>
          <w:sz w:val="28"/>
          <w:szCs w:val="28"/>
        </w:rPr>
        <w:t xml:space="preserve"> г. произошло в связи с </w:t>
      </w:r>
      <w:r w:rsidR="00B61971" w:rsidRPr="006B190E">
        <w:rPr>
          <w:sz w:val="28"/>
          <w:szCs w:val="28"/>
        </w:rPr>
        <w:t>индексацией</w:t>
      </w:r>
      <w:r w:rsidR="00FF30DC" w:rsidRPr="006B190E">
        <w:rPr>
          <w:sz w:val="28"/>
          <w:szCs w:val="28"/>
        </w:rPr>
        <w:t xml:space="preserve"> оплаты труда</w:t>
      </w:r>
      <w:r w:rsidR="00D350A0" w:rsidRPr="006B190E">
        <w:rPr>
          <w:sz w:val="28"/>
          <w:szCs w:val="28"/>
        </w:rPr>
        <w:t xml:space="preserve"> и ростом тарифов на коммунальные услуги</w:t>
      </w:r>
      <w:r w:rsidR="00FF30DC" w:rsidRPr="006B190E">
        <w:rPr>
          <w:sz w:val="28"/>
          <w:szCs w:val="28"/>
        </w:rPr>
        <w:t>.</w:t>
      </w:r>
    </w:p>
    <w:p w14:paraId="6D39E682" w14:textId="77777777" w:rsidR="00A90885" w:rsidRPr="006B190E" w:rsidRDefault="006E217B" w:rsidP="00E9208B">
      <w:pPr>
        <w:pStyle w:val="a8"/>
        <w:spacing w:before="0" w:after="0"/>
        <w:ind w:firstLine="709"/>
        <w:jc w:val="both"/>
        <w:rPr>
          <w:sz w:val="28"/>
          <w:szCs w:val="28"/>
        </w:rPr>
      </w:pPr>
      <w:r w:rsidRPr="006B190E">
        <w:rPr>
          <w:sz w:val="28"/>
          <w:szCs w:val="28"/>
        </w:rPr>
        <w:t>3</w:t>
      </w:r>
      <w:r w:rsidR="00511122" w:rsidRPr="006B190E">
        <w:rPr>
          <w:sz w:val="28"/>
          <w:szCs w:val="28"/>
        </w:rPr>
        <w:t>6</w:t>
      </w:r>
      <w:r w:rsidRPr="006B190E">
        <w:rPr>
          <w:sz w:val="28"/>
          <w:szCs w:val="28"/>
        </w:rPr>
        <w:t>.</w:t>
      </w:r>
      <w:r w:rsidR="00311029" w:rsidRPr="006B190E">
        <w:rPr>
          <w:sz w:val="28"/>
          <w:szCs w:val="28"/>
        </w:rPr>
        <w:t xml:space="preserve"> Решением Собрания депутатов №73-1 от 26.07.2012 года утвержден генеральный план муниципального образования город Новомосковск. </w:t>
      </w:r>
      <w:r w:rsidR="00A90885" w:rsidRPr="006B190E">
        <w:rPr>
          <w:sz w:val="28"/>
          <w:szCs w:val="28"/>
        </w:rPr>
        <w:t>В целях приведения документов территориального планирования и функционального зонирования в соответствии с требованиями действующего законодательства 30.03.2021 г. решением Собрания депутатов город Новомосковск №41-11 были внесены изменения в генеральный план.</w:t>
      </w:r>
      <w:r w:rsidR="00E9208B" w:rsidRPr="006B190E">
        <w:rPr>
          <w:sz w:val="28"/>
          <w:szCs w:val="28"/>
        </w:rPr>
        <w:t xml:space="preserve"> В дальнейшем </w:t>
      </w:r>
      <w:r w:rsidR="00312C4D" w:rsidRPr="006B190E">
        <w:rPr>
          <w:sz w:val="28"/>
          <w:szCs w:val="28"/>
        </w:rPr>
        <w:t xml:space="preserve">в </w:t>
      </w:r>
      <w:r w:rsidR="00E9208B" w:rsidRPr="006B190E">
        <w:rPr>
          <w:sz w:val="28"/>
          <w:szCs w:val="28"/>
        </w:rPr>
        <w:t>Генеральный план вносились изменения по предложениям органов власти Тульской области и юридических лиц.</w:t>
      </w:r>
    </w:p>
    <w:p w14:paraId="614CE95C" w14:textId="77777777" w:rsidR="006E217B" w:rsidRPr="006B190E" w:rsidRDefault="006E217B" w:rsidP="00AD741B">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3</w:t>
      </w:r>
      <w:r w:rsidR="00511122" w:rsidRPr="006B190E">
        <w:rPr>
          <w:rFonts w:eastAsiaTheme="minorHAnsi"/>
          <w:sz w:val="28"/>
          <w:szCs w:val="28"/>
          <w:lang w:eastAsia="en-US"/>
        </w:rPr>
        <w:t>7</w:t>
      </w:r>
      <w:r w:rsidRPr="006B190E">
        <w:rPr>
          <w:rFonts w:eastAsiaTheme="minorHAnsi"/>
          <w:sz w:val="28"/>
          <w:szCs w:val="28"/>
          <w:lang w:eastAsia="en-US"/>
        </w:rPr>
        <w:t>.</w:t>
      </w:r>
      <w:r w:rsidR="00E16940" w:rsidRPr="006B190E">
        <w:rPr>
          <w:rFonts w:eastAsiaTheme="minorHAnsi"/>
          <w:sz w:val="28"/>
          <w:szCs w:val="28"/>
          <w:lang w:eastAsia="en-US"/>
        </w:rPr>
        <w:t xml:space="preserve">  Не рассчитывается.</w:t>
      </w:r>
    </w:p>
    <w:p w14:paraId="5EA14A0F" w14:textId="17B7CB43" w:rsidR="006E217B" w:rsidRPr="006B190E" w:rsidRDefault="006E217B" w:rsidP="00AD741B">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3</w:t>
      </w:r>
      <w:r w:rsidR="00511122" w:rsidRPr="006B190E">
        <w:rPr>
          <w:rFonts w:eastAsiaTheme="minorHAnsi"/>
          <w:sz w:val="28"/>
          <w:szCs w:val="28"/>
          <w:lang w:eastAsia="en-US"/>
        </w:rPr>
        <w:t>8</w:t>
      </w:r>
      <w:r w:rsidRPr="006B190E">
        <w:rPr>
          <w:rFonts w:eastAsiaTheme="minorHAnsi"/>
          <w:sz w:val="28"/>
          <w:szCs w:val="28"/>
          <w:lang w:eastAsia="en-US"/>
        </w:rPr>
        <w:t>.</w:t>
      </w:r>
      <w:r w:rsidR="00C34E39" w:rsidRPr="006B190E">
        <w:rPr>
          <w:rFonts w:eastAsiaTheme="minorHAnsi"/>
          <w:sz w:val="28"/>
          <w:szCs w:val="28"/>
          <w:lang w:eastAsia="en-US"/>
        </w:rPr>
        <w:t xml:space="preserve"> </w:t>
      </w:r>
      <w:r w:rsidR="00B61971" w:rsidRPr="006B190E">
        <w:rPr>
          <w:rFonts w:eastAsiaTheme="minorHAnsi"/>
          <w:sz w:val="28"/>
          <w:szCs w:val="28"/>
          <w:lang w:eastAsia="en-US"/>
        </w:rPr>
        <w:t>В 20</w:t>
      </w:r>
      <w:r w:rsidR="003E2BFC" w:rsidRPr="006B190E">
        <w:rPr>
          <w:rFonts w:eastAsiaTheme="minorHAnsi"/>
          <w:sz w:val="28"/>
          <w:szCs w:val="28"/>
          <w:lang w:eastAsia="en-US"/>
        </w:rPr>
        <w:t>2</w:t>
      </w:r>
      <w:r w:rsidR="000A07D3" w:rsidRPr="006B190E">
        <w:rPr>
          <w:rFonts w:eastAsiaTheme="minorHAnsi"/>
          <w:sz w:val="28"/>
          <w:szCs w:val="28"/>
          <w:lang w:eastAsia="en-US"/>
        </w:rPr>
        <w:t>4</w:t>
      </w:r>
      <w:r w:rsidR="00B61971" w:rsidRPr="006B190E">
        <w:rPr>
          <w:rFonts w:eastAsiaTheme="minorHAnsi"/>
          <w:sz w:val="28"/>
          <w:szCs w:val="28"/>
          <w:lang w:eastAsia="en-US"/>
        </w:rPr>
        <w:t xml:space="preserve"> году численность населения в муниципальном образовании</w:t>
      </w:r>
      <w:r w:rsidR="00C34E39" w:rsidRPr="006B190E">
        <w:rPr>
          <w:rFonts w:eastAsiaTheme="minorHAnsi"/>
          <w:sz w:val="28"/>
          <w:szCs w:val="28"/>
          <w:lang w:eastAsia="en-US"/>
        </w:rPr>
        <w:t xml:space="preserve"> </w:t>
      </w:r>
      <w:r w:rsidR="00B61971" w:rsidRPr="006B190E">
        <w:rPr>
          <w:rFonts w:eastAsiaTheme="minorHAnsi"/>
          <w:sz w:val="28"/>
          <w:szCs w:val="28"/>
          <w:lang w:eastAsia="en-US"/>
        </w:rPr>
        <w:t xml:space="preserve">снизилась на </w:t>
      </w:r>
      <w:r w:rsidR="00AE4306" w:rsidRPr="006B190E">
        <w:rPr>
          <w:rFonts w:eastAsiaTheme="minorHAnsi"/>
          <w:sz w:val="28"/>
          <w:szCs w:val="28"/>
          <w:lang w:eastAsia="en-US"/>
        </w:rPr>
        <w:t>1,</w:t>
      </w:r>
      <w:r w:rsidR="000A07D3" w:rsidRPr="006B190E">
        <w:rPr>
          <w:rFonts w:eastAsiaTheme="minorHAnsi"/>
          <w:sz w:val="28"/>
          <w:szCs w:val="28"/>
          <w:lang w:eastAsia="en-US"/>
        </w:rPr>
        <w:t>3</w:t>
      </w:r>
      <w:r w:rsidR="00B61971" w:rsidRPr="006B190E">
        <w:rPr>
          <w:rFonts w:eastAsiaTheme="minorHAnsi"/>
          <w:sz w:val="28"/>
          <w:szCs w:val="28"/>
          <w:lang w:eastAsia="en-US"/>
        </w:rPr>
        <w:t xml:space="preserve"> тыс. человек. В плановом периоде </w:t>
      </w:r>
      <w:r w:rsidR="00C34E39" w:rsidRPr="006B190E">
        <w:rPr>
          <w:rFonts w:eastAsiaTheme="minorHAnsi"/>
          <w:sz w:val="28"/>
          <w:szCs w:val="28"/>
          <w:lang w:eastAsia="en-US"/>
        </w:rPr>
        <w:t xml:space="preserve">численность постоянного населения </w:t>
      </w:r>
      <w:r w:rsidR="00B61971" w:rsidRPr="006B190E">
        <w:rPr>
          <w:rFonts w:eastAsiaTheme="minorHAnsi"/>
          <w:sz w:val="28"/>
          <w:szCs w:val="28"/>
          <w:lang w:eastAsia="en-US"/>
        </w:rPr>
        <w:t xml:space="preserve">будет </w:t>
      </w:r>
      <w:r w:rsidR="00C34E39" w:rsidRPr="006B190E">
        <w:rPr>
          <w:rFonts w:eastAsiaTheme="minorHAnsi"/>
          <w:sz w:val="28"/>
          <w:szCs w:val="28"/>
          <w:lang w:eastAsia="en-US"/>
        </w:rPr>
        <w:t>ежегодно снижат</w:t>
      </w:r>
      <w:r w:rsidR="00B61971" w:rsidRPr="006B190E">
        <w:rPr>
          <w:rFonts w:eastAsiaTheme="minorHAnsi"/>
          <w:sz w:val="28"/>
          <w:szCs w:val="28"/>
          <w:lang w:eastAsia="en-US"/>
        </w:rPr>
        <w:t>ь</w:t>
      </w:r>
      <w:r w:rsidR="00C34E39" w:rsidRPr="006B190E">
        <w:rPr>
          <w:rFonts w:eastAsiaTheme="minorHAnsi"/>
          <w:sz w:val="28"/>
          <w:szCs w:val="28"/>
          <w:lang w:eastAsia="en-US"/>
        </w:rPr>
        <w:t xml:space="preserve">ся в пределах </w:t>
      </w:r>
      <w:r w:rsidR="00AE4306" w:rsidRPr="006B190E">
        <w:rPr>
          <w:rFonts w:eastAsiaTheme="minorHAnsi"/>
          <w:sz w:val="28"/>
          <w:szCs w:val="28"/>
          <w:lang w:eastAsia="en-US"/>
        </w:rPr>
        <w:t>1</w:t>
      </w:r>
      <w:r w:rsidR="00945D38" w:rsidRPr="006B190E">
        <w:rPr>
          <w:rFonts w:eastAsiaTheme="minorHAnsi"/>
          <w:sz w:val="28"/>
          <w:szCs w:val="28"/>
          <w:lang w:eastAsia="en-US"/>
        </w:rPr>
        <w:t>,</w:t>
      </w:r>
      <w:r w:rsidR="00AE4306" w:rsidRPr="006B190E">
        <w:rPr>
          <w:rFonts w:eastAsiaTheme="minorHAnsi"/>
          <w:sz w:val="28"/>
          <w:szCs w:val="28"/>
          <w:lang w:eastAsia="en-US"/>
        </w:rPr>
        <w:t>0</w:t>
      </w:r>
      <w:r w:rsidR="00312C4D" w:rsidRPr="006B190E">
        <w:rPr>
          <w:rFonts w:eastAsiaTheme="minorHAnsi"/>
          <w:sz w:val="28"/>
          <w:szCs w:val="28"/>
          <w:lang w:eastAsia="en-US"/>
        </w:rPr>
        <w:t xml:space="preserve"> </w:t>
      </w:r>
      <w:r w:rsidR="00E16940" w:rsidRPr="006B190E">
        <w:rPr>
          <w:rFonts w:eastAsiaTheme="minorHAnsi"/>
          <w:sz w:val="28"/>
          <w:szCs w:val="28"/>
          <w:lang w:eastAsia="en-US"/>
        </w:rPr>
        <w:t>тыс. человек</w:t>
      </w:r>
      <w:r w:rsidR="00B61971" w:rsidRPr="006B190E">
        <w:rPr>
          <w:rFonts w:eastAsiaTheme="minorHAnsi"/>
          <w:sz w:val="28"/>
          <w:szCs w:val="28"/>
          <w:lang w:eastAsia="en-US"/>
        </w:rPr>
        <w:t xml:space="preserve"> при условии положительного </w:t>
      </w:r>
      <w:r w:rsidR="00DA2609" w:rsidRPr="006B190E">
        <w:rPr>
          <w:rFonts w:eastAsiaTheme="minorHAnsi"/>
          <w:sz w:val="28"/>
          <w:szCs w:val="28"/>
          <w:lang w:eastAsia="en-US"/>
        </w:rPr>
        <w:t xml:space="preserve">или близкого к нулю </w:t>
      </w:r>
      <w:r w:rsidR="00B61971" w:rsidRPr="006B190E">
        <w:rPr>
          <w:rFonts w:eastAsiaTheme="minorHAnsi"/>
          <w:sz w:val="28"/>
          <w:szCs w:val="28"/>
          <w:lang w:eastAsia="en-US"/>
        </w:rPr>
        <w:t>миграционного потока</w:t>
      </w:r>
      <w:r w:rsidR="00E16940" w:rsidRPr="006B190E">
        <w:rPr>
          <w:rFonts w:eastAsiaTheme="minorHAnsi"/>
          <w:sz w:val="28"/>
          <w:szCs w:val="28"/>
          <w:lang w:eastAsia="en-US"/>
        </w:rPr>
        <w:t>.</w:t>
      </w:r>
    </w:p>
    <w:p w14:paraId="6CA300E8" w14:textId="77777777" w:rsidR="00C10C5A" w:rsidRPr="006B190E" w:rsidRDefault="00C10C5A" w:rsidP="00AD741B">
      <w:pPr>
        <w:spacing w:after="0" w:line="240" w:lineRule="auto"/>
        <w:ind w:firstLine="709"/>
        <w:jc w:val="both"/>
        <w:rPr>
          <w:rFonts w:ascii="Times New Roman" w:hAnsi="Times New Roman" w:cs="Times New Roman"/>
          <w:sz w:val="28"/>
          <w:szCs w:val="28"/>
        </w:rPr>
      </w:pPr>
    </w:p>
    <w:p w14:paraId="4466ADDB" w14:textId="77777777" w:rsidR="00C10C5A" w:rsidRPr="006B190E" w:rsidRDefault="00C10C5A" w:rsidP="00C10C5A">
      <w:pPr>
        <w:spacing w:after="0" w:line="240" w:lineRule="auto"/>
        <w:jc w:val="center"/>
        <w:rPr>
          <w:rFonts w:ascii="Times New Roman" w:hAnsi="Times New Roman" w:cs="Times New Roman"/>
          <w:b/>
          <w:sz w:val="28"/>
          <w:szCs w:val="28"/>
        </w:rPr>
      </w:pPr>
      <w:r w:rsidRPr="006B190E">
        <w:rPr>
          <w:rFonts w:ascii="Times New Roman" w:hAnsi="Times New Roman" w:cs="Times New Roman"/>
          <w:b/>
          <w:sz w:val="28"/>
          <w:szCs w:val="28"/>
          <w:lang w:val="en-US"/>
        </w:rPr>
        <w:t>IX</w:t>
      </w:r>
      <w:r w:rsidRPr="006B190E">
        <w:rPr>
          <w:rFonts w:ascii="Times New Roman" w:hAnsi="Times New Roman" w:cs="Times New Roman"/>
          <w:b/>
          <w:sz w:val="28"/>
          <w:szCs w:val="28"/>
        </w:rPr>
        <w:t>. Энергосбережение и повышение энергетической эффективности</w:t>
      </w:r>
    </w:p>
    <w:p w14:paraId="6B7D285C" w14:textId="77777777" w:rsidR="00623110" w:rsidRPr="006B190E" w:rsidRDefault="006E217B" w:rsidP="00623110">
      <w:pPr>
        <w:spacing w:after="0" w:line="240" w:lineRule="auto"/>
        <w:ind w:firstLine="709"/>
        <w:jc w:val="both"/>
        <w:rPr>
          <w:rFonts w:ascii="Times New Roman" w:eastAsia="Times New Roman" w:hAnsi="Times New Roman"/>
          <w:sz w:val="28"/>
          <w:szCs w:val="28"/>
          <w:lang w:eastAsia="ru-RU"/>
        </w:rPr>
      </w:pPr>
      <w:r w:rsidRPr="006B190E">
        <w:rPr>
          <w:rFonts w:ascii="Times New Roman" w:hAnsi="Times New Roman" w:cs="Times New Roman"/>
          <w:sz w:val="28"/>
          <w:szCs w:val="28"/>
        </w:rPr>
        <w:t>3</w:t>
      </w:r>
      <w:r w:rsidR="00511122" w:rsidRPr="006B190E">
        <w:rPr>
          <w:rFonts w:ascii="Times New Roman" w:hAnsi="Times New Roman" w:cs="Times New Roman"/>
          <w:sz w:val="28"/>
          <w:szCs w:val="28"/>
        </w:rPr>
        <w:t>9</w:t>
      </w:r>
      <w:r w:rsidR="00E366A1" w:rsidRPr="006B190E">
        <w:rPr>
          <w:rFonts w:ascii="Times New Roman" w:hAnsi="Times New Roman" w:cs="Times New Roman"/>
          <w:sz w:val="28"/>
          <w:szCs w:val="28"/>
        </w:rPr>
        <w:t>.</w:t>
      </w:r>
      <w:r w:rsidR="00360B0E" w:rsidRPr="006B190E">
        <w:rPr>
          <w:rFonts w:ascii="Times New Roman" w:hAnsi="Times New Roman" w:cs="Times New Roman"/>
          <w:sz w:val="28"/>
          <w:szCs w:val="28"/>
        </w:rPr>
        <w:t xml:space="preserve"> </w:t>
      </w:r>
      <w:r w:rsidR="00623110" w:rsidRPr="006B190E">
        <w:rPr>
          <w:rFonts w:ascii="Times New Roman" w:eastAsia="Times New Roman" w:hAnsi="Times New Roman"/>
          <w:sz w:val="28"/>
          <w:szCs w:val="28"/>
          <w:lang w:eastAsia="ru-RU"/>
        </w:rPr>
        <w:t>- Удельная величина потребления электрической энергии в многоквартирных домах увеличилась по сравнению с 2023г. в связи с новым строительством МКД;</w:t>
      </w:r>
    </w:p>
    <w:p w14:paraId="3B823FCB" w14:textId="77777777" w:rsidR="00623110" w:rsidRPr="006B190E" w:rsidRDefault="00623110" w:rsidP="00623110">
      <w:pPr>
        <w:spacing w:after="0" w:line="240" w:lineRule="auto"/>
        <w:jc w:val="both"/>
        <w:rPr>
          <w:rFonts w:ascii="Times New Roman" w:eastAsia="Times New Roman" w:hAnsi="Times New Roman"/>
          <w:sz w:val="28"/>
          <w:szCs w:val="28"/>
          <w:lang w:eastAsia="ru-RU"/>
        </w:rPr>
      </w:pPr>
      <w:r w:rsidRPr="006B190E">
        <w:rPr>
          <w:rFonts w:ascii="Times New Roman" w:eastAsia="Times New Roman" w:hAnsi="Times New Roman"/>
          <w:sz w:val="28"/>
          <w:szCs w:val="28"/>
          <w:lang w:eastAsia="ru-RU"/>
        </w:rPr>
        <w:tab/>
        <w:t>- удельная величина потребления горячей воды в многоквартирных домах уменьшилась по сравнению с 2023г. в связи с установкой индивидуальных приборов учета;</w:t>
      </w:r>
    </w:p>
    <w:p w14:paraId="0ED617A8" w14:textId="77777777" w:rsidR="00623110" w:rsidRPr="006B190E" w:rsidRDefault="00623110" w:rsidP="00623110">
      <w:pPr>
        <w:spacing w:after="0" w:line="240" w:lineRule="auto"/>
        <w:jc w:val="both"/>
        <w:rPr>
          <w:rFonts w:ascii="Times New Roman" w:eastAsia="Times New Roman" w:hAnsi="Times New Roman"/>
          <w:sz w:val="28"/>
          <w:szCs w:val="28"/>
          <w:lang w:eastAsia="ru-RU"/>
        </w:rPr>
      </w:pPr>
      <w:r w:rsidRPr="006B190E">
        <w:rPr>
          <w:rFonts w:ascii="Times New Roman" w:eastAsia="Times New Roman" w:hAnsi="Times New Roman"/>
          <w:sz w:val="28"/>
          <w:szCs w:val="28"/>
          <w:lang w:eastAsia="ru-RU"/>
        </w:rPr>
        <w:tab/>
        <w:t>- удельная величина потребления холодной воды в многоквартирных домах уменьшилась по сравнению с 2023г. в связи с установкой индивидуальных приборов учета;</w:t>
      </w:r>
    </w:p>
    <w:p w14:paraId="7056DAB2" w14:textId="7896ED58" w:rsidR="00E366A1" w:rsidRPr="006B190E" w:rsidRDefault="00623110" w:rsidP="00623110">
      <w:pPr>
        <w:spacing w:after="0" w:line="240" w:lineRule="auto"/>
        <w:ind w:firstLine="709"/>
        <w:jc w:val="both"/>
        <w:rPr>
          <w:rFonts w:ascii="Times New Roman" w:eastAsia="Times New Roman" w:hAnsi="Times New Roman"/>
          <w:sz w:val="28"/>
          <w:szCs w:val="28"/>
          <w:lang w:eastAsia="ru-RU"/>
        </w:rPr>
      </w:pPr>
      <w:r w:rsidRPr="006B190E">
        <w:rPr>
          <w:rFonts w:ascii="Times New Roman" w:eastAsia="Times New Roman" w:hAnsi="Times New Roman"/>
          <w:sz w:val="28"/>
          <w:szCs w:val="28"/>
          <w:lang w:eastAsia="ru-RU"/>
        </w:rPr>
        <w:t>- удельная величина потребления газа в многоквартирных домах уменьшилась по сравнению с 2023г. в связи с установкой индивидуальных приборов учета.</w:t>
      </w:r>
    </w:p>
    <w:p w14:paraId="4F10D56D" w14:textId="221C43B1" w:rsidR="00EB040B" w:rsidRPr="006B190E" w:rsidRDefault="00EB040B" w:rsidP="00AE4306">
      <w:pPr>
        <w:pStyle w:val="a8"/>
        <w:spacing w:before="0" w:after="0"/>
        <w:ind w:firstLine="709"/>
        <w:jc w:val="both"/>
        <w:rPr>
          <w:rFonts w:eastAsiaTheme="minorHAnsi"/>
          <w:sz w:val="28"/>
          <w:szCs w:val="28"/>
          <w:lang w:eastAsia="en-US"/>
        </w:rPr>
      </w:pPr>
      <w:r w:rsidRPr="006B190E">
        <w:rPr>
          <w:rFonts w:eastAsiaTheme="minorHAnsi"/>
          <w:sz w:val="28"/>
          <w:szCs w:val="28"/>
          <w:lang w:eastAsia="en-US"/>
        </w:rPr>
        <w:t xml:space="preserve">Проведение энергосберегающих мероприятий </w:t>
      </w:r>
      <w:r w:rsidR="00623110" w:rsidRPr="006B190E">
        <w:rPr>
          <w:rFonts w:eastAsiaTheme="minorHAnsi"/>
          <w:sz w:val="28"/>
          <w:szCs w:val="28"/>
          <w:lang w:eastAsia="en-US"/>
        </w:rPr>
        <w:t xml:space="preserve">и установка современных приборов учета </w:t>
      </w:r>
      <w:r w:rsidRPr="006B190E">
        <w:rPr>
          <w:rFonts w:eastAsiaTheme="minorHAnsi"/>
          <w:sz w:val="28"/>
          <w:szCs w:val="28"/>
          <w:lang w:eastAsia="en-US"/>
        </w:rPr>
        <w:t>в бюджетных учреждениях в период с 2012 по 20</w:t>
      </w:r>
      <w:r w:rsidR="003E2BFC" w:rsidRPr="006B190E">
        <w:rPr>
          <w:rFonts w:eastAsiaTheme="minorHAnsi"/>
          <w:sz w:val="28"/>
          <w:szCs w:val="28"/>
          <w:lang w:eastAsia="en-US"/>
        </w:rPr>
        <w:t>2</w:t>
      </w:r>
      <w:r w:rsidR="00DA2609" w:rsidRPr="006B190E">
        <w:rPr>
          <w:rFonts w:eastAsiaTheme="minorHAnsi"/>
          <w:sz w:val="28"/>
          <w:szCs w:val="28"/>
          <w:lang w:eastAsia="en-US"/>
        </w:rPr>
        <w:t>4</w:t>
      </w:r>
      <w:r w:rsidRPr="006B190E">
        <w:rPr>
          <w:rFonts w:eastAsiaTheme="minorHAnsi"/>
          <w:sz w:val="28"/>
          <w:szCs w:val="28"/>
          <w:lang w:eastAsia="en-US"/>
        </w:rPr>
        <w:t xml:space="preserve"> годы обуславливает снижение показателя в разрезе всех энергоресурсов.</w:t>
      </w:r>
      <w:r w:rsidR="00B84196" w:rsidRPr="006B190E">
        <w:rPr>
          <w:rFonts w:eastAsiaTheme="minorHAnsi"/>
          <w:sz w:val="28"/>
          <w:szCs w:val="28"/>
          <w:lang w:eastAsia="en-US"/>
        </w:rPr>
        <w:t xml:space="preserve"> </w:t>
      </w:r>
      <w:r w:rsidR="007F06B4" w:rsidRPr="006B190E">
        <w:rPr>
          <w:rFonts w:eastAsiaTheme="minorHAnsi"/>
          <w:sz w:val="28"/>
          <w:szCs w:val="28"/>
          <w:lang w:eastAsia="en-US"/>
        </w:rPr>
        <w:t>У</w:t>
      </w:r>
      <w:r w:rsidR="00B84196" w:rsidRPr="006B190E">
        <w:rPr>
          <w:rFonts w:eastAsiaTheme="minorHAnsi"/>
          <w:sz w:val="28"/>
          <w:szCs w:val="28"/>
          <w:lang w:eastAsia="en-US"/>
        </w:rPr>
        <w:t xml:space="preserve">величение показателей происходит за счет </w:t>
      </w:r>
      <w:r w:rsidR="00001D69" w:rsidRPr="006B190E">
        <w:rPr>
          <w:rFonts w:eastAsiaTheme="minorHAnsi"/>
          <w:sz w:val="28"/>
          <w:szCs w:val="28"/>
          <w:lang w:eastAsia="en-US"/>
        </w:rPr>
        <w:t>сокращени</w:t>
      </w:r>
      <w:r w:rsidR="007F06B4" w:rsidRPr="006B190E">
        <w:rPr>
          <w:rFonts w:eastAsiaTheme="minorHAnsi"/>
          <w:sz w:val="28"/>
          <w:szCs w:val="28"/>
          <w:lang w:eastAsia="en-US"/>
        </w:rPr>
        <w:t>я</w:t>
      </w:r>
      <w:r w:rsidR="00001D69" w:rsidRPr="006B190E">
        <w:rPr>
          <w:rFonts w:eastAsiaTheme="minorHAnsi"/>
          <w:sz w:val="28"/>
          <w:szCs w:val="28"/>
          <w:lang w:eastAsia="en-US"/>
        </w:rPr>
        <w:t xml:space="preserve"> численности населения муниципального образования</w:t>
      </w:r>
      <w:r w:rsidR="00B84196" w:rsidRPr="006B190E">
        <w:rPr>
          <w:rFonts w:eastAsiaTheme="minorHAnsi"/>
          <w:sz w:val="28"/>
          <w:szCs w:val="28"/>
          <w:lang w:eastAsia="en-US"/>
        </w:rPr>
        <w:t>.</w:t>
      </w:r>
    </w:p>
    <w:p w14:paraId="53D88CB0" w14:textId="77777777" w:rsidR="00AF4178" w:rsidRDefault="00AF4178" w:rsidP="00AD741B">
      <w:pPr>
        <w:pStyle w:val="a8"/>
        <w:spacing w:before="0" w:after="0"/>
        <w:jc w:val="both"/>
        <w:rPr>
          <w:rFonts w:eastAsiaTheme="minorHAnsi"/>
          <w:sz w:val="28"/>
          <w:szCs w:val="28"/>
          <w:lang w:eastAsia="en-US"/>
        </w:rPr>
      </w:pPr>
    </w:p>
    <w:p w14:paraId="78D55CF0" w14:textId="77777777" w:rsidR="00BE2DF4" w:rsidRPr="006B190E" w:rsidRDefault="00BE2DF4" w:rsidP="00AD741B">
      <w:pPr>
        <w:pStyle w:val="a8"/>
        <w:spacing w:before="0" w:after="0"/>
        <w:jc w:val="both"/>
        <w:rPr>
          <w:rFonts w:eastAsiaTheme="minorHAnsi"/>
          <w:sz w:val="28"/>
          <w:szCs w:val="28"/>
          <w:lang w:eastAsia="en-US"/>
        </w:rPr>
      </w:pPr>
      <w:bookmarkStart w:id="0" w:name="_GoBack"/>
      <w:bookmarkEnd w:id="0"/>
    </w:p>
    <w:p w14:paraId="359A30D4" w14:textId="77777777" w:rsidR="00AF4178" w:rsidRPr="006B190E" w:rsidRDefault="00AF4178" w:rsidP="00AD741B">
      <w:pPr>
        <w:pStyle w:val="a8"/>
        <w:spacing w:before="0" w:after="0"/>
        <w:ind w:firstLine="851"/>
        <w:jc w:val="both"/>
        <w:rPr>
          <w:rFonts w:eastAsiaTheme="minorHAnsi"/>
          <w:sz w:val="28"/>
          <w:szCs w:val="28"/>
          <w:lang w:eastAsia="en-US"/>
        </w:rPr>
      </w:pPr>
    </w:p>
    <w:p w14:paraId="774FF646" w14:textId="77777777" w:rsidR="00D9095C" w:rsidRPr="006B190E" w:rsidRDefault="00D9095C" w:rsidP="00AD741B">
      <w:pPr>
        <w:pStyle w:val="a8"/>
        <w:spacing w:before="0" w:after="0"/>
        <w:ind w:firstLine="426"/>
        <w:jc w:val="both"/>
        <w:rPr>
          <w:rFonts w:eastAsiaTheme="minorHAnsi"/>
          <w:b/>
          <w:sz w:val="28"/>
          <w:szCs w:val="28"/>
          <w:lang w:eastAsia="en-US"/>
        </w:rPr>
      </w:pPr>
      <w:r w:rsidRPr="006B190E">
        <w:rPr>
          <w:rFonts w:eastAsiaTheme="minorHAnsi"/>
          <w:b/>
          <w:sz w:val="28"/>
          <w:szCs w:val="28"/>
          <w:lang w:eastAsia="en-US"/>
        </w:rPr>
        <w:t xml:space="preserve">Глава администрации </w:t>
      </w:r>
    </w:p>
    <w:p w14:paraId="51A7E3A6" w14:textId="77777777" w:rsidR="006E217B" w:rsidRPr="004D2100" w:rsidRDefault="00D9095C" w:rsidP="00AD741B">
      <w:pPr>
        <w:pStyle w:val="a8"/>
        <w:spacing w:before="0" w:after="0"/>
        <w:jc w:val="both"/>
        <w:rPr>
          <w:b/>
          <w:sz w:val="28"/>
          <w:szCs w:val="28"/>
        </w:rPr>
      </w:pPr>
      <w:r w:rsidRPr="006B190E">
        <w:rPr>
          <w:rFonts w:eastAsiaTheme="minorHAnsi"/>
          <w:b/>
          <w:sz w:val="28"/>
          <w:szCs w:val="28"/>
          <w:lang w:eastAsia="en-US"/>
        </w:rPr>
        <w:t xml:space="preserve">муниципального образования                                                  </w:t>
      </w:r>
      <w:r w:rsidR="007C7C45" w:rsidRPr="006B190E">
        <w:rPr>
          <w:rFonts w:eastAsiaTheme="minorHAnsi"/>
          <w:b/>
          <w:sz w:val="28"/>
          <w:szCs w:val="28"/>
          <w:lang w:eastAsia="en-US"/>
        </w:rPr>
        <w:t xml:space="preserve">      </w:t>
      </w:r>
      <w:r w:rsidR="00001D69" w:rsidRPr="006B190E">
        <w:rPr>
          <w:rFonts w:eastAsiaTheme="minorHAnsi"/>
          <w:b/>
          <w:sz w:val="28"/>
          <w:szCs w:val="28"/>
          <w:lang w:eastAsia="en-US"/>
        </w:rPr>
        <w:tab/>
        <w:t xml:space="preserve">       Р.В</w:t>
      </w:r>
      <w:r w:rsidRPr="006B190E">
        <w:rPr>
          <w:rFonts w:eastAsiaTheme="minorHAnsi"/>
          <w:b/>
          <w:sz w:val="28"/>
          <w:szCs w:val="28"/>
          <w:lang w:eastAsia="en-US"/>
        </w:rPr>
        <w:t xml:space="preserve">. </w:t>
      </w:r>
      <w:r w:rsidR="00A511A5" w:rsidRPr="006B190E">
        <w:rPr>
          <w:rFonts w:eastAsiaTheme="minorHAnsi"/>
          <w:b/>
          <w:sz w:val="28"/>
          <w:szCs w:val="28"/>
          <w:lang w:eastAsia="en-US"/>
        </w:rPr>
        <w:t>Б</w:t>
      </w:r>
      <w:r w:rsidR="00001D69" w:rsidRPr="006B190E">
        <w:rPr>
          <w:rFonts w:eastAsiaTheme="minorHAnsi"/>
          <w:b/>
          <w:sz w:val="28"/>
          <w:szCs w:val="28"/>
          <w:lang w:eastAsia="en-US"/>
        </w:rPr>
        <w:t>утов</w:t>
      </w:r>
    </w:p>
    <w:sectPr w:rsidR="006E217B" w:rsidRPr="004D2100" w:rsidSect="0073549C">
      <w:pgSz w:w="11906" w:h="16838"/>
      <w:pgMar w:top="1135" w:right="566"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10B86"/>
    <w:multiLevelType w:val="hybridMultilevel"/>
    <w:tmpl w:val="6A3A9E1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nsid w:val="2C2679F7"/>
    <w:multiLevelType w:val="hybridMultilevel"/>
    <w:tmpl w:val="079C5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D67422"/>
    <w:multiLevelType w:val="hybridMultilevel"/>
    <w:tmpl w:val="67C45794"/>
    <w:lvl w:ilvl="0" w:tplc="8E887C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2847C7A"/>
    <w:multiLevelType w:val="hybridMultilevel"/>
    <w:tmpl w:val="DDA0F3BE"/>
    <w:lvl w:ilvl="0" w:tplc="C3262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42A125E"/>
    <w:multiLevelType w:val="hybridMultilevel"/>
    <w:tmpl w:val="C108F382"/>
    <w:lvl w:ilvl="0" w:tplc="676614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6222332"/>
    <w:multiLevelType w:val="hybridMultilevel"/>
    <w:tmpl w:val="0D48D018"/>
    <w:lvl w:ilvl="0" w:tplc="1A1607F2">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798344D"/>
    <w:multiLevelType w:val="hybridMultilevel"/>
    <w:tmpl w:val="756EA0C6"/>
    <w:lvl w:ilvl="0" w:tplc="D47C29DA">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5990388C"/>
    <w:multiLevelType w:val="hybridMultilevel"/>
    <w:tmpl w:val="1F5C86DA"/>
    <w:lvl w:ilvl="0" w:tplc="E176F4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48D2E9F"/>
    <w:multiLevelType w:val="hybridMultilevel"/>
    <w:tmpl w:val="D65E535A"/>
    <w:lvl w:ilvl="0" w:tplc="C5468B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90B22CD"/>
    <w:multiLevelType w:val="hybridMultilevel"/>
    <w:tmpl w:val="889E7FDC"/>
    <w:lvl w:ilvl="0" w:tplc="0419000F">
      <w:start w:val="1"/>
      <w:numFmt w:val="decimal"/>
      <w:lvlText w:val="%1."/>
      <w:lvlJc w:val="left"/>
      <w:pPr>
        <w:ind w:left="800" w:hanging="360"/>
      </w:p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0">
    <w:nsid w:val="75F20399"/>
    <w:multiLevelType w:val="hybridMultilevel"/>
    <w:tmpl w:val="D4624C10"/>
    <w:lvl w:ilvl="0" w:tplc="6302D3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7"/>
  </w:num>
  <w:num w:numId="4">
    <w:abstractNumId w:val="10"/>
  </w:num>
  <w:num w:numId="5">
    <w:abstractNumId w:val="5"/>
  </w:num>
  <w:num w:numId="6">
    <w:abstractNumId w:val="9"/>
  </w:num>
  <w:num w:numId="7">
    <w:abstractNumId w:val="8"/>
  </w:num>
  <w:num w:numId="8">
    <w:abstractNumId w:val="6"/>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989"/>
    <w:rsid w:val="00001D69"/>
    <w:rsid w:val="00001E84"/>
    <w:rsid w:val="00011C92"/>
    <w:rsid w:val="00013845"/>
    <w:rsid w:val="0003457C"/>
    <w:rsid w:val="00042D3F"/>
    <w:rsid w:val="00052B70"/>
    <w:rsid w:val="00055E04"/>
    <w:rsid w:val="000561E1"/>
    <w:rsid w:val="00061276"/>
    <w:rsid w:val="00067355"/>
    <w:rsid w:val="000728DB"/>
    <w:rsid w:val="00082F72"/>
    <w:rsid w:val="00090D61"/>
    <w:rsid w:val="00095A55"/>
    <w:rsid w:val="000A07D3"/>
    <w:rsid w:val="000A2B70"/>
    <w:rsid w:val="000B47E9"/>
    <w:rsid w:val="000C3FE8"/>
    <w:rsid w:val="000D13B2"/>
    <w:rsid w:val="000F0499"/>
    <w:rsid w:val="00101310"/>
    <w:rsid w:val="001038C6"/>
    <w:rsid w:val="00105847"/>
    <w:rsid w:val="00112AFC"/>
    <w:rsid w:val="0011384D"/>
    <w:rsid w:val="00115919"/>
    <w:rsid w:val="00116049"/>
    <w:rsid w:val="00116ECA"/>
    <w:rsid w:val="00121326"/>
    <w:rsid w:val="00122F81"/>
    <w:rsid w:val="001324C1"/>
    <w:rsid w:val="0015104D"/>
    <w:rsid w:val="0015206A"/>
    <w:rsid w:val="001617B9"/>
    <w:rsid w:val="00187618"/>
    <w:rsid w:val="00187841"/>
    <w:rsid w:val="00196FE4"/>
    <w:rsid w:val="001A735B"/>
    <w:rsid w:val="001C4030"/>
    <w:rsid w:val="001D02C0"/>
    <w:rsid w:val="001E3ED3"/>
    <w:rsid w:val="001E629E"/>
    <w:rsid w:val="001F0D95"/>
    <w:rsid w:val="001F31F2"/>
    <w:rsid w:val="00207A5F"/>
    <w:rsid w:val="00210055"/>
    <w:rsid w:val="00210869"/>
    <w:rsid w:val="002202C1"/>
    <w:rsid w:val="0022068E"/>
    <w:rsid w:val="002212FF"/>
    <w:rsid w:val="0022345A"/>
    <w:rsid w:val="002264A2"/>
    <w:rsid w:val="0022756F"/>
    <w:rsid w:val="0023611D"/>
    <w:rsid w:val="00247159"/>
    <w:rsid w:val="00252F12"/>
    <w:rsid w:val="0026248B"/>
    <w:rsid w:val="002640E7"/>
    <w:rsid w:val="002723DF"/>
    <w:rsid w:val="002829E8"/>
    <w:rsid w:val="00285762"/>
    <w:rsid w:val="0029031B"/>
    <w:rsid w:val="002A5A3A"/>
    <w:rsid w:val="002B078B"/>
    <w:rsid w:val="002B5049"/>
    <w:rsid w:val="002D5E19"/>
    <w:rsid w:val="002E1E79"/>
    <w:rsid w:val="002F3E00"/>
    <w:rsid w:val="002F4C8D"/>
    <w:rsid w:val="00311029"/>
    <w:rsid w:val="00312C4D"/>
    <w:rsid w:val="00324A41"/>
    <w:rsid w:val="003309DB"/>
    <w:rsid w:val="003352C3"/>
    <w:rsid w:val="003503A8"/>
    <w:rsid w:val="00350B44"/>
    <w:rsid w:val="00360B0E"/>
    <w:rsid w:val="003631D7"/>
    <w:rsid w:val="00370801"/>
    <w:rsid w:val="00381476"/>
    <w:rsid w:val="003900C9"/>
    <w:rsid w:val="00390777"/>
    <w:rsid w:val="003968D5"/>
    <w:rsid w:val="003B0A7B"/>
    <w:rsid w:val="003B4323"/>
    <w:rsid w:val="003C0D12"/>
    <w:rsid w:val="003D4901"/>
    <w:rsid w:val="003D4EE6"/>
    <w:rsid w:val="003D52DD"/>
    <w:rsid w:val="003E1400"/>
    <w:rsid w:val="003E2BFC"/>
    <w:rsid w:val="003F1400"/>
    <w:rsid w:val="003F181C"/>
    <w:rsid w:val="003F3D97"/>
    <w:rsid w:val="00405B88"/>
    <w:rsid w:val="00425FEC"/>
    <w:rsid w:val="004312F0"/>
    <w:rsid w:val="00445775"/>
    <w:rsid w:val="00477E99"/>
    <w:rsid w:val="004850CA"/>
    <w:rsid w:val="00486757"/>
    <w:rsid w:val="004921A4"/>
    <w:rsid w:val="004D2100"/>
    <w:rsid w:val="004E6B60"/>
    <w:rsid w:val="004F1873"/>
    <w:rsid w:val="004F45C4"/>
    <w:rsid w:val="00511122"/>
    <w:rsid w:val="0052549C"/>
    <w:rsid w:val="005311DE"/>
    <w:rsid w:val="00534032"/>
    <w:rsid w:val="00537487"/>
    <w:rsid w:val="00545922"/>
    <w:rsid w:val="00551930"/>
    <w:rsid w:val="00560DC1"/>
    <w:rsid w:val="00564206"/>
    <w:rsid w:val="005739FE"/>
    <w:rsid w:val="00581EEF"/>
    <w:rsid w:val="00585E63"/>
    <w:rsid w:val="00590B32"/>
    <w:rsid w:val="005A7B0A"/>
    <w:rsid w:val="005C5F5E"/>
    <w:rsid w:val="005D275D"/>
    <w:rsid w:val="005E4012"/>
    <w:rsid w:val="005E78EF"/>
    <w:rsid w:val="005E79A6"/>
    <w:rsid w:val="005F5584"/>
    <w:rsid w:val="00604CA3"/>
    <w:rsid w:val="00605464"/>
    <w:rsid w:val="00607C56"/>
    <w:rsid w:val="00607E9A"/>
    <w:rsid w:val="00617E88"/>
    <w:rsid w:val="00622332"/>
    <w:rsid w:val="00623110"/>
    <w:rsid w:val="0064237D"/>
    <w:rsid w:val="006456E7"/>
    <w:rsid w:val="006564CA"/>
    <w:rsid w:val="00676F06"/>
    <w:rsid w:val="00685CC0"/>
    <w:rsid w:val="00687190"/>
    <w:rsid w:val="0069326E"/>
    <w:rsid w:val="006A7701"/>
    <w:rsid w:val="006B190E"/>
    <w:rsid w:val="006E16FD"/>
    <w:rsid w:val="006E217B"/>
    <w:rsid w:val="006E5F77"/>
    <w:rsid w:val="007054EF"/>
    <w:rsid w:val="00705E12"/>
    <w:rsid w:val="00707691"/>
    <w:rsid w:val="007077B0"/>
    <w:rsid w:val="00711769"/>
    <w:rsid w:val="0073549C"/>
    <w:rsid w:val="007407C8"/>
    <w:rsid w:val="00756C9D"/>
    <w:rsid w:val="00766A5A"/>
    <w:rsid w:val="00770F04"/>
    <w:rsid w:val="00771853"/>
    <w:rsid w:val="00782C76"/>
    <w:rsid w:val="00790490"/>
    <w:rsid w:val="00795941"/>
    <w:rsid w:val="007A0497"/>
    <w:rsid w:val="007B1357"/>
    <w:rsid w:val="007C7C45"/>
    <w:rsid w:val="007D2823"/>
    <w:rsid w:val="007D31C0"/>
    <w:rsid w:val="007D6DB6"/>
    <w:rsid w:val="007E2962"/>
    <w:rsid w:val="007F06B4"/>
    <w:rsid w:val="007F17D4"/>
    <w:rsid w:val="007F425C"/>
    <w:rsid w:val="007F556C"/>
    <w:rsid w:val="008000BD"/>
    <w:rsid w:val="00810FE2"/>
    <w:rsid w:val="00822134"/>
    <w:rsid w:val="008273B2"/>
    <w:rsid w:val="00834CC4"/>
    <w:rsid w:val="00861DE8"/>
    <w:rsid w:val="0087007B"/>
    <w:rsid w:val="00884E98"/>
    <w:rsid w:val="00893E91"/>
    <w:rsid w:val="008A21A8"/>
    <w:rsid w:val="008B0ABC"/>
    <w:rsid w:val="008B6156"/>
    <w:rsid w:val="008C3CD8"/>
    <w:rsid w:val="008C7DFD"/>
    <w:rsid w:val="008D6977"/>
    <w:rsid w:val="008F224D"/>
    <w:rsid w:val="008F3A1C"/>
    <w:rsid w:val="009217A8"/>
    <w:rsid w:val="00923310"/>
    <w:rsid w:val="009324AA"/>
    <w:rsid w:val="00944811"/>
    <w:rsid w:val="00945D38"/>
    <w:rsid w:val="009530F7"/>
    <w:rsid w:val="00970900"/>
    <w:rsid w:val="00993133"/>
    <w:rsid w:val="009A5F21"/>
    <w:rsid w:val="009B0873"/>
    <w:rsid w:val="009B0CF4"/>
    <w:rsid w:val="009B1102"/>
    <w:rsid w:val="009C0AA9"/>
    <w:rsid w:val="009C189B"/>
    <w:rsid w:val="009C313C"/>
    <w:rsid w:val="009D3684"/>
    <w:rsid w:val="009E00F8"/>
    <w:rsid w:val="009E6826"/>
    <w:rsid w:val="009E70C0"/>
    <w:rsid w:val="009E77AA"/>
    <w:rsid w:val="009F0BB5"/>
    <w:rsid w:val="009F3561"/>
    <w:rsid w:val="009F437E"/>
    <w:rsid w:val="00A0533D"/>
    <w:rsid w:val="00A227EE"/>
    <w:rsid w:val="00A22B8E"/>
    <w:rsid w:val="00A302B1"/>
    <w:rsid w:val="00A318CD"/>
    <w:rsid w:val="00A327C2"/>
    <w:rsid w:val="00A511A5"/>
    <w:rsid w:val="00A56502"/>
    <w:rsid w:val="00A60A3A"/>
    <w:rsid w:val="00A74F67"/>
    <w:rsid w:val="00A90885"/>
    <w:rsid w:val="00A90D29"/>
    <w:rsid w:val="00A94593"/>
    <w:rsid w:val="00AA69BF"/>
    <w:rsid w:val="00AB6EB5"/>
    <w:rsid w:val="00AD05BF"/>
    <w:rsid w:val="00AD341F"/>
    <w:rsid w:val="00AD741B"/>
    <w:rsid w:val="00AE0A99"/>
    <w:rsid w:val="00AE329E"/>
    <w:rsid w:val="00AE4306"/>
    <w:rsid w:val="00AE7DBE"/>
    <w:rsid w:val="00AF4178"/>
    <w:rsid w:val="00B03038"/>
    <w:rsid w:val="00B05616"/>
    <w:rsid w:val="00B15BBA"/>
    <w:rsid w:val="00B209EA"/>
    <w:rsid w:val="00B211A7"/>
    <w:rsid w:val="00B338FA"/>
    <w:rsid w:val="00B410DB"/>
    <w:rsid w:val="00B43DCB"/>
    <w:rsid w:val="00B61971"/>
    <w:rsid w:val="00B67F1B"/>
    <w:rsid w:val="00B72EC1"/>
    <w:rsid w:val="00B756B6"/>
    <w:rsid w:val="00B84196"/>
    <w:rsid w:val="00BA6A46"/>
    <w:rsid w:val="00BB1391"/>
    <w:rsid w:val="00BC258F"/>
    <w:rsid w:val="00BC6AA2"/>
    <w:rsid w:val="00BC6E80"/>
    <w:rsid w:val="00BE2DF4"/>
    <w:rsid w:val="00BF756E"/>
    <w:rsid w:val="00C057B8"/>
    <w:rsid w:val="00C068A2"/>
    <w:rsid w:val="00C10C5A"/>
    <w:rsid w:val="00C23562"/>
    <w:rsid w:val="00C25EE8"/>
    <w:rsid w:val="00C33B3C"/>
    <w:rsid w:val="00C34E39"/>
    <w:rsid w:val="00C3575A"/>
    <w:rsid w:val="00C35AB9"/>
    <w:rsid w:val="00C74D3A"/>
    <w:rsid w:val="00C93F94"/>
    <w:rsid w:val="00C95376"/>
    <w:rsid w:val="00CA0DC4"/>
    <w:rsid w:val="00CC70C4"/>
    <w:rsid w:val="00CC70CE"/>
    <w:rsid w:val="00CD1152"/>
    <w:rsid w:val="00CD19BE"/>
    <w:rsid w:val="00CD30FC"/>
    <w:rsid w:val="00CE7F67"/>
    <w:rsid w:val="00D027D4"/>
    <w:rsid w:val="00D16DAF"/>
    <w:rsid w:val="00D25A18"/>
    <w:rsid w:val="00D26304"/>
    <w:rsid w:val="00D33989"/>
    <w:rsid w:val="00D350A0"/>
    <w:rsid w:val="00D365D2"/>
    <w:rsid w:val="00D3687E"/>
    <w:rsid w:val="00D402A1"/>
    <w:rsid w:val="00D56CFB"/>
    <w:rsid w:val="00D61C32"/>
    <w:rsid w:val="00D66CE8"/>
    <w:rsid w:val="00D9095C"/>
    <w:rsid w:val="00DA2609"/>
    <w:rsid w:val="00DA34B8"/>
    <w:rsid w:val="00DC4C78"/>
    <w:rsid w:val="00DD1A69"/>
    <w:rsid w:val="00DD4CE1"/>
    <w:rsid w:val="00DD6056"/>
    <w:rsid w:val="00DF00FF"/>
    <w:rsid w:val="00DF527E"/>
    <w:rsid w:val="00E00660"/>
    <w:rsid w:val="00E117FC"/>
    <w:rsid w:val="00E16940"/>
    <w:rsid w:val="00E22671"/>
    <w:rsid w:val="00E27335"/>
    <w:rsid w:val="00E30B58"/>
    <w:rsid w:val="00E35C7F"/>
    <w:rsid w:val="00E366A1"/>
    <w:rsid w:val="00E45221"/>
    <w:rsid w:val="00E45FC8"/>
    <w:rsid w:val="00E51ECB"/>
    <w:rsid w:val="00E60A82"/>
    <w:rsid w:val="00E60F41"/>
    <w:rsid w:val="00E640BB"/>
    <w:rsid w:val="00E65D67"/>
    <w:rsid w:val="00E9208B"/>
    <w:rsid w:val="00EA3A7B"/>
    <w:rsid w:val="00EB040B"/>
    <w:rsid w:val="00ED4B7F"/>
    <w:rsid w:val="00ED4E1D"/>
    <w:rsid w:val="00ED621B"/>
    <w:rsid w:val="00EE5EBF"/>
    <w:rsid w:val="00F10BE4"/>
    <w:rsid w:val="00F15E1F"/>
    <w:rsid w:val="00F211FF"/>
    <w:rsid w:val="00F25992"/>
    <w:rsid w:val="00F31BEF"/>
    <w:rsid w:val="00F41356"/>
    <w:rsid w:val="00F44041"/>
    <w:rsid w:val="00F500FF"/>
    <w:rsid w:val="00F806CA"/>
    <w:rsid w:val="00F8083E"/>
    <w:rsid w:val="00F80C2F"/>
    <w:rsid w:val="00F832D8"/>
    <w:rsid w:val="00F87E5F"/>
    <w:rsid w:val="00FA0C16"/>
    <w:rsid w:val="00FB1818"/>
    <w:rsid w:val="00FB6EB0"/>
    <w:rsid w:val="00FD54B2"/>
    <w:rsid w:val="00FF30DC"/>
    <w:rsid w:val="00FF5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36F3D"/>
  <w15:docId w15:val="{4D09DC2B-A0DD-4A7E-8B6E-9A93A894D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4EF"/>
  </w:style>
  <w:style w:type="paragraph" w:styleId="2">
    <w:name w:val="heading 2"/>
    <w:basedOn w:val="a"/>
    <w:link w:val="20"/>
    <w:uiPriority w:val="9"/>
    <w:qFormat/>
    <w:rsid w:val="007F17D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52B70"/>
    <w:pPr>
      <w:ind w:left="720"/>
      <w:contextualSpacing/>
    </w:pPr>
  </w:style>
  <w:style w:type="character" w:styleId="a5">
    <w:name w:val="Hyperlink"/>
    <w:basedOn w:val="a0"/>
    <w:uiPriority w:val="99"/>
    <w:unhideWhenUsed/>
    <w:rsid w:val="00E60A82"/>
    <w:rPr>
      <w:color w:val="0000FF" w:themeColor="hyperlink"/>
      <w:u w:val="single"/>
    </w:rPr>
  </w:style>
  <w:style w:type="paragraph" w:styleId="a6">
    <w:name w:val="Body Text"/>
    <w:basedOn w:val="a"/>
    <w:link w:val="a7"/>
    <w:rsid w:val="00861DE8"/>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861DE8"/>
    <w:rPr>
      <w:rFonts w:ascii="Times New Roman" w:eastAsia="Times New Roman" w:hAnsi="Times New Roman" w:cs="Times New Roman"/>
      <w:sz w:val="24"/>
      <w:szCs w:val="24"/>
      <w:lang w:eastAsia="ru-RU"/>
    </w:rPr>
  </w:style>
  <w:style w:type="paragraph" w:styleId="a8">
    <w:name w:val="Normal (Web)"/>
    <w:basedOn w:val="a"/>
    <w:rsid w:val="00861DE8"/>
    <w:pPr>
      <w:spacing w:before="150" w:after="150" w:line="240" w:lineRule="auto"/>
    </w:pPr>
    <w:rPr>
      <w:rFonts w:ascii="Times New Roman" w:eastAsia="Times New Roman" w:hAnsi="Times New Roman" w:cs="Times New Roman"/>
      <w:sz w:val="24"/>
      <w:szCs w:val="24"/>
      <w:lang w:eastAsia="ru-RU"/>
    </w:rPr>
  </w:style>
  <w:style w:type="paragraph" w:customStyle="1" w:styleId="1">
    <w:name w:val="Знак1 Знак Знак Знак"/>
    <w:basedOn w:val="a"/>
    <w:rsid w:val="00C3575A"/>
    <w:pPr>
      <w:spacing w:after="160" w:line="240" w:lineRule="exact"/>
    </w:pPr>
    <w:rPr>
      <w:rFonts w:ascii="Verdana" w:eastAsia="Times New Roman" w:hAnsi="Verdana" w:cs="Times New Roman"/>
      <w:sz w:val="20"/>
      <w:szCs w:val="20"/>
      <w:lang w:val="en-US"/>
    </w:rPr>
  </w:style>
  <w:style w:type="paragraph" w:styleId="3">
    <w:name w:val="Body Text Indent 3"/>
    <w:basedOn w:val="a"/>
    <w:link w:val="30"/>
    <w:uiPriority w:val="99"/>
    <w:semiHidden/>
    <w:unhideWhenUsed/>
    <w:rsid w:val="00C3575A"/>
    <w:pPr>
      <w:spacing w:after="120"/>
      <w:ind w:left="283"/>
    </w:pPr>
    <w:rPr>
      <w:sz w:val="16"/>
      <w:szCs w:val="16"/>
    </w:rPr>
  </w:style>
  <w:style w:type="character" w:customStyle="1" w:styleId="30">
    <w:name w:val="Основной текст с отступом 3 Знак"/>
    <w:basedOn w:val="a0"/>
    <w:link w:val="3"/>
    <w:uiPriority w:val="99"/>
    <w:semiHidden/>
    <w:rsid w:val="00C3575A"/>
    <w:rPr>
      <w:sz w:val="16"/>
      <w:szCs w:val="16"/>
    </w:rPr>
  </w:style>
  <w:style w:type="paragraph" w:customStyle="1" w:styleId="a9">
    <w:name w:val="Знак"/>
    <w:basedOn w:val="a"/>
    <w:rsid w:val="002F4C8D"/>
    <w:pPr>
      <w:widowControl w:val="0"/>
      <w:autoSpaceDE w:val="0"/>
      <w:autoSpaceDN w:val="0"/>
      <w:adjustRightInd w:val="0"/>
      <w:spacing w:before="100" w:beforeAutospacing="1" w:after="100" w:afterAutospacing="1" w:line="240" w:lineRule="auto"/>
    </w:pPr>
    <w:rPr>
      <w:rFonts w:ascii="Tahoma" w:eastAsia="Times New Roman" w:hAnsi="Tahoma" w:cs="Times New Roman"/>
      <w:sz w:val="20"/>
      <w:szCs w:val="20"/>
      <w:lang w:val="en-US"/>
    </w:rPr>
  </w:style>
  <w:style w:type="paragraph" w:customStyle="1" w:styleId="aa">
    <w:name w:val="Знак Знак Знак Знак"/>
    <w:basedOn w:val="a"/>
    <w:rsid w:val="00013845"/>
    <w:pPr>
      <w:spacing w:after="0" w:line="240" w:lineRule="auto"/>
    </w:pPr>
    <w:rPr>
      <w:rFonts w:ascii="Verdana" w:eastAsia="Times New Roman" w:hAnsi="Verdana" w:cs="Verdana"/>
      <w:sz w:val="20"/>
      <w:szCs w:val="20"/>
      <w:lang w:val="en-US"/>
    </w:rPr>
  </w:style>
  <w:style w:type="paragraph" w:customStyle="1" w:styleId="12">
    <w:name w:val="Знак1 Знак Знак Знак2"/>
    <w:basedOn w:val="a"/>
    <w:rsid w:val="00E45221"/>
    <w:pPr>
      <w:spacing w:after="160" w:line="240" w:lineRule="exact"/>
    </w:pPr>
    <w:rPr>
      <w:rFonts w:ascii="Verdana" w:eastAsia="Times New Roman" w:hAnsi="Verdana" w:cs="Times New Roman"/>
      <w:sz w:val="20"/>
      <w:szCs w:val="20"/>
      <w:lang w:val="en-US"/>
    </w:rPr>
  </w:style>
  <w:style w:type="paragraph" w:styleId="ab">
    <w:name w:val="No Spacing"/>
    <w:uiPriority w:val="1"/>
    <w:qFormat/>
    <w:rsid w:val="009E6826"/>
    <w:pPr>
      <w:spacing w:after="0" w:line="240" w:lineRule="auto"/>
    </w:pPr>
    <w:rPr>
      <w:rFonts w:ascii="Calibri" w:eastAsia="Calibri" w:hAnsi="Calibri" w:cs="Times New Roman"/>
    </w:rPr>
  </w:style>
  <w:style w:type="paragraph" w:customStyle="1" w:styleId="11">
    <w:name w:val="Знак1 Знак Знак Знак1"/>
    <w:basedOn w:val="a"/>
    <w:rsid w:val="003D52DD"/>
    <w:pPr>
      <w:spacing w:after="160" w:line="240" w:lineRule="exact"/>
    </w:pPr>
    <w:rPr>
      <w:rFonts w:ascii="Verdana" w:eastAsia="Times New Roman" w:hAnsi="Verdana" w:cs="Times New Roman"/>
      <w:sz w:val="20"/>
      <w:szCs w:val="20"/>
      <w:lang w:val="en-US"/>
    </w:rPr>
  </w:style>
  <w:style w:type="character" w:customStyle="1" w:styleId="20">
    <w:name w:val="Заголовок 2 Знак"/>
    <w:basedOn w:val="a0"/>
    <w:link w:val="2"/>
    <w:uiPriority w:val="9"/>
    <w:rsid w:val="007F17D4"/>
    <w:rPr>
      <w:rFonts w:ascii="Times New Roman" w:eastAsia="Times New Roman" w:hAnsi="Times New Roman" w:cs="Times New Roman"/>
      <w:b/>
      <w:bCs/>
      <w:sz w:val="36"/>
      <w:szCs w:val="36"/>
      <w:lang w:eastAsia="ru-RU"/>
    </w:rPr>
  </w:style>
  <w:style w:type="paragraph" w:customStyle="1" w:styleId="ConsPlusNormal">
    <w:name w:val="ConsPlusNormal"/>
    <w:rsid w:val="00DF00FF"/>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semiHidden/>
    <w:unhideWhenUsed/>
    <w:rsid w:val="00BC6E80"/>
    <w:pPr>
      <w:spacing w:after="120" w:line="480" w:lineRule="auto"/>
    </w:pPr>
  </w:style>
  <w:style w:type="character" w:customStyle="1" w:styleId="22">
    <w:name w:val="Основной текст 2 Знак"/>
    <w:basedOn w:val="a0"/>
    <w:link w:val="21"/>
    <w:uiPriority w:val="99"/>
    <w:semiHidden/>
    <w:rsid w:val="00BC6E80"/>
  </w:style>
  <w:style w:type="character" w:customStyle="1" w:styleId="a4">
    <w:name w:val="Абзац списка Знак"/>
    <w:link w:val="a3"/>
    <w:uiPriority w:val="34"/>
    <w:locked/>
    <w:rsid w:val="00BC6E80"/>
  </w:style>
  <w:style w:type="paragraph" w:styleId="ac">
    <w:name w:val="Balloon Text"/>
    <w:basedOn w:val="a"/>
    <w:link w:val="ad"/>
    <w:uiPriority w:val="99"/>
    <w:semiHidden/>
    <w:unhideWhenUsed/>
    <w:rsid w:val="00CD30FC"/>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CD30FC"/>
    <w:rPr>
      <w:rFonts w:ascii="Tahoma" w:eastAsia="Times New Roman" w:hAnsi="Tahoma" w:cs="Tahoma"/>
      <w:sz w:val="16"/>
      <w:szCs w:val="16"/>
      <w:lang w:eastAsia="ru-RU"/>
    </w:rPr>
  </w:style>
  <w:style w:type="paragraph" w:customStyle="1" w:styleId="xl63">
    <w:name w:val="xl63"/>
    <w:basedOn w:val="a"/>
    <w:rsid w:val="00525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uiPriority w:val="99"/>
    <w:rsid w:val="00BC6AA2"/>
    <w:pPr>
      <w:ind w:left="720"/>
      <w:contextualSpacing/>
    </w:pPr>
    <w:rPr>
      <w:rFonts w:ascii="Calibri" w:eastAsia="Calibri" w:hAnsi="Calibri" w:cs="Times New Roman"/>
      <w:lang w:eastAsia="ru-RU"/>
    </w:rPr>
  </w:style>
  <w:style w:type="paragraph" w:customStyle="1" w:styleId="Default">
    <w:name w:val="Default"/>
    <w:rsid w:val="00D25A1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443838">
      <w:bodyDiv w:val="1"/>
      <w:marLeft w:val="0"/>
      <w:marRight w:val="0"/>
      <w:marTop w:val="0"/>
      <w:marBottom w:val="0"/>
      <w:divBdr>
        <w:top w:val="none" w:sz="0" w:space="0" w:color="auto"/>
        <w:left w:val="none" w:sz="0" w:space="0" w:color="auto"/>
        <w:bottom w:val="none" w:sz="0" w:space="0" w:color="auto"/>
        <w:right w:val="none" w:sz="0" w:space="0" w:color="auto"/>
      </w:divBdr>
    </w:div>
    <w:div w:id="852914332">
      <w:bodyDiv w:val="1"/>
      <w:marLeft w:val="0"/>
      <w:marRight w:val="0"/>
      <w:marTop w:val="0"/>
      <w:marBottom w:val="0"/>
      <w:divBdr>
        <w:top w:val="none" w:sz="0" w:space="0" w:color="auto"/>
        <w:left w:val="none" w:sz="0" w:space="0" w:color="auto"/>
        <w:bottom w:val="none" w:sz="0" w:space="0" w:color="auto"/>
        <w:right w:val="none" w:sz="0" w:space="0" w:color="auto"/>
      </w:divBdr>
    </w:div>
    <w:div w:id="1089810442">
      <w:bodyDiv w:val="1"/>
      <w:marLeft w:val="0"/>
      <w:marRight w:val="0"/>
      <w:marTop w:val="0"/>
      <w:marBottom w:val="0"/>
      <w:divBdr>
        <w:top w:val="none" w:sz="0" w:space="0" w:color="auto"/>
        <w:left w:val="none" w:sz="0" w:space="0" w:color="auto"/>
        <w:bottom w:val="none" w:sz="0" w:space="0" w:color="auto"/>
        <w:right w:val="none" w:sz="0" w:space="0" w:color="auto"/>
      </w:divBdr>
    </w:div>
    <w:div w:id="1458061897">
      <w:bodyDiv w:val="1"/>
      <w:marLeft w:val="0"/>
      <w:marRight w:val="0"/>
      <w:marTop w:val="0"/>
      <w:marBottom w:val="0"/>
      <w:divBdr>
        <w:top w:val="none" w:sz="0" w:space="0" w:color="auto"/>
        <w:left w:val="none" w:sz="0" w:space="0" w:color="auto"/>
        <w:bottom w:val="none" w:sz="0" w:space="0" w:color="auto"/>
        <w:right w:val="none" w:sz="0" w:space="0" w:color="auto"/>
      </w:divBdr>
    </w:div>
    <w:div w:id="1601836630">
      <w:bodyDiv w:val="1"/>
      <w:marLeft w:val="0"/>
      <w:marRight w:val="0"/>
      <w:marTop w:val="0"/>
      <w:marBottom w:val="0"/>
      <w:divBdr>
        <w:top w:val="none" w:sz="0" w:space="0" w:color="auto"/>
        <w:left w:val="none" w:sz="0" w:space="0" w:color="auto"/>
        <w:bottom w:val="none" w:sz="0" w:space="0" w:color="auto"/>
        <w:right w:val="none" w:sz="0" w:space="0" w:color="auto"/>
      </w:divBdr>
    </w:div>
    <w:div w:id="1736319966">
      <w:bodyDiv w:val="1"/>
      <w:marLeft w:val="0"/>
      <w:marRight w:val="0"/>
      <w:marTop w:val="0"/>
      <w:marBottom w:val="0"/>
      <w:divBdr>
        <w:top w:val="none" w:sz="0" w:space="0" w:color="auto"/>
        <w:left w:val="none" w:sz="0" w:space="0" w:color="auto"/>
        <w:bottom w:val="none" w:sz="0" w:space="0" w:color="auto"/>
        <w:right w:val="none" w:sz="0" w:space="0" w:color="auto"/>
      </w:divBdr>
    </w:div>
    <w:div w:id="2007391852">
      <w:bodyDiv w:val="1"/>
      <w:marLeft w:val="0"/>
      <w:marRight w:val="0"/>
      <w:marTop w:val="0"/>
      <w:marBottom w:val="0"/>
      <w:divBdr>
        <w:top w:val="none" w:sz="0" w:space="0" w:color="auto"/>
        <w:left w:val="none" w:sz="0" w:space="0" w:color="auto"/>
        <w:bottom w:val="none" w:sz="0" w:space="0" w:color="auto"/>
        <w:right w:val="none" w:sz="0" w:space="0" w:color="auto"/>
      </w:divBdr>
    </w:div>
    <w:div w:id="2095515195">
      <w:bodyDiv w:val="1"/>
      <w:marLeft w:val="0"/>
      <w:marRight w:val="0"/>
      <w:marTop w:val="0"/>
      <w:marBottom w:val="0"/>
      <w:divBdr>
        <w:top w:val="none" w:sz="0" w:space="0" w:color="auto"/>
        <w:left w:val="none" w:sz="0" w:space="0" w:color="auto"/>
        <w:bottom w:val="none" w:sz="0" w:space="0" w:color="auto"/>
        <w:right w:val="none" w:sz="0" w:space="0" w:color="auto"/>
      </w:divBdr>
    </w:div>
    <w:div w:id="211886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EEC74-FBFE-415A-B4E9-63E8AE86E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3456</Words>
  <Characters>19705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ECO01</dc:creator>
  <cp:lastModifiedBy>Александр Семкин</cp:lastModifiedBy>
  <cp:revision>3</cp:revision>
  <cp:lastPrinted>2023-04-26T08:04:00Z</cp:lastPrinted>
  <dcterms:created xsi:type="dcterms:W3CDTF">2025-04-29T08:05:00Z</dcterms:created>
  <dcterms:modified xsi:type="dcterms:W3CDTF">2025-04-29T08:07:00Z</dcterms:modified>
</cp:coreProperties>
</file>