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6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7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7B5" w:rsidRPr="00F60480" w:rsidRDefault="008A17B5" w:rsidP="00AF09A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F60480">
        <w:rPr>
          <w:rFonts w:ascii="Times New Roman" w:hAnsi="Times New Roman" w:cs="Times New Roman"/>
          <w:bCs/>
          <w:sz w:val="24"/>
          <w:szCs w:val="28"/>
        </w:rPr>
        <w:t xml:space="preserve">Приложение к постановлению </w:t>
      </w:r>
    </w:p>
    <w:p w:rsidR="008A17B5" w:rsidRPr="00F60480" w:rsidRDefault="008A17B5" w:rsidP="00AF09A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F60480">
        <w:rPr>
          <w:rFonts w:ascii="Times New Roman" w:hAnsi="Times New Roman" w:cs="Times New Roman"/>
          <w:bCs/>
          <w:sz w:val="24"/>
          <w:szCs w:val="28"/>
        </w:rPr>
        <w:t xml:space="preserve">администрации муниципального образования </w:t>
      </w:r>
    </w:p>
    <w:p w:rsidR="001C0899" w:rsidRPr="00F60480" w:rsidRDefault="008A17B5" w:rsidP="00AF09A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F60480">
        <w:rPr>
          <w:rFonts w:ascii="Times New Roman" w:hAnsi="Times New Roman" w:cs="Times New Roman"/>
          <w:bCs/>
          <w:sz w:val="24"/>
          <w:szCs w:val="28"/>
        </w:rPr>
        <w:t>город Новомосковск от</w:t>
      </w:r>
      <w:r w:rsidR="00CC3009" w:rsidRPr="00F60480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176A98" w:rsidRPr="00F60480">
        <w:rPr>
          <w:rFonts w:ascii="Times New Roman" w:hAnsi="Times New Roman" w:cs="Times New Roman"/>
          <w:bCs/>
          <w:sz w:val="24"/>
          <w:szCs w:val="28"/>
        </w:rPr>
        <w:t>______________</w:t>
      </w:r>
      <w:r w:rsidRPr="00F60480">
        <w:rPr>
          <w:rFonts w:ascii="Times New Roman" w:hAnsi="Times New Roman" w:cs="Times New Roman"/>
          <w:bCs/>
          <w:sz w:val="24"/>
          <w:szCs w:val="28"/>
        </w:rPr>
        <w:t xml:space="preserve"> №</w:t>
      </w:r>
      <w:r w:rsidR="00176A98" w:rsidRPr="00F60480">
        <w:rPr>
          <w:rFonts w:ascii="Times New Roman" w:hAnsi="Times New Roman" w:cs="Times New Roman"/>
          <w:bCs/>
          <w:sz w:val="24"/>
          <w:szCs w:val="28"/>
        </w:rPr>
        <w:t>______________</w:t>
      </w:r>
    </w:p>
    <w:p w:rsidR="008A17B5" w:rsidRPr="00F60480" w:rsidRDefault="008A17B5" w:rsidP="00AF09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1EB4" w:rsidRPr="00F60480" w:rsidRDefault="00481EB4" w:rsidP="00AF09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09A7" w:rsidRDefault="00444589" w:rsidP="00AF09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0480">
        <w:rPr>
          <w:rFonts w:ascii="Times New Roman" w:hAnsi="Times New Roman" w:cs="Times New Roman"/>
          <w:b/>
          <w:bCs/>
          <w:sz w:val="28"/>
          <w:szCs w:val="28"/>
        </w:rPr>
        <w:t>Прогноз</w:t>
      </w:r>
      <w:r w:rsidR="00472859" w:rsidRPr="00F60480">
        <w:rPr>
          <w:rFonts w:ascii="Times New Roman" w:hAnsi="Times New Roman" w:cs="Times New Roman"/>
          <w:b/>
          <w:bCs/>
          <w:sz w:val="28"/>
          <w:szCs w:val="28"/>
        </w:rPr>
        <w:t xml:space="preserve"> социально-экономического развития муниципального образования город Новомосковск на 20</w:t>
      </w:r>
      <w:r w:rsidR="003F3F44" w:rsidRPr="00F6048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1249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72859" w:rsidRPr="00F60480">
        <w:rPr>
          <w:rFonts w:ascii="Times New Roman" w:hAnsi="Times New Roman" w:cs="Times New Roman"/>
          <w:b/>
          <w:bCs/>
          <w:sz w:val="28"/>
          <w:szCs w:val="28"/>
        </w:rPr>
        <w:t xml:space="preserve"> год и период до 20</w:t>
      </w:r>
      <w:r w:rsidR="00A3513E" w:rsidRPr="00F6048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12494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472859" w:rsidRPr="00F60480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073E1E" w:rsidRDefault="00073E1E" w:rsidP="00AF09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591" w:type="dxa"/>
        <w:tblLook w:val="04A0" w:firstRow="1" w:lastRow="0" w:firstColumn="1" w:lastColumn="0" w:noHBand="0" w:noVBand="1"/>
      </w:tblPr>
      <w:tblGrid>
        <w:gridCol w:w="3818"/>
        <w:gridCol w:w="1984"/>
        <w:gridCol w:w="1418"/>
        <w:gridCol w:w="1417"/>
        <w:gridCol w:w="1407"/>
        <w:gridCol w:w="1570"/>
        <w:gridCol w:w="1417"/>
        <w:gridCol w:w="1560"/>
      </w:tblGrid>
      <w:tr w:rsidR="00073E1E" w:rsidRPr="00073E1E" w:rsidTr="00073E1E">
        <w:trPr>
          <w:trHeight w:val="390"/>
        </w:trPr>
        <w:tc>
          <w:tcPr>
            <w:tcW w:w="3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отчет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отчет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45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прогноз</w:t>
            </w:r>
          </w:p>
        </w:tc>
      </w:tr>
      <w:tr w:rsidR="00073E1E" w:rsidRPr="00073E1E" w:rsidTr="00073E1E">
        <w:trPr>
          <w:trHeight w:val="322"/>
        </w:trPr>
        <w:tc>
          <w:tcPr>
            <w:tcW w:w="3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2027</w:t>
            </w:r>
          </w:p>
        </w:tc>
      </w:tr>
      <w:tr w:rsidR="00073E1E" w:rsidRPr="00073E1E" w:rsidTr="00073E1E">
        <w:trPr>
          <w:trHeight w:val="322"/>
        </w:trPr>
        <w:tc>
          <w:tcPr>
            <w:tcW w:w="3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73E1E" w:rsidRPr="00073E1E" w:rsidTr="00073E1E">
        <w:trPr>
          <w:trHeight w:val="315"/>
        </w:trPr>
        <w:tc>
          <w:tcPr>
            <w:tcW w:w="1459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Демографические показатели</w:t>
            </w:r>
          </w:p>
        </w:tc>
      </w:tr>
      <w:tr w:rsidR="00073E1E" w:rsidRPr="00073E1E" w:rsidTr="00073E1E">
        <w:trPr>
          <w:trHeight w:val="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 постоянного населения (среднегодовая)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131,34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130,16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129,40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128,40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127,40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126,50</w:t>
            </w:r>
          </w:p>
        </w:tc>
      </w:tr>
      <w:tr w:rsidR="00073E1E" w:rsidRPr="00073E1E" w:rsidTr="00073E1E">
        <w:trPr>
          <w:trHeight w:val="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к </w:t>
            </w:r>
            <w:proofErr w:type="spellStart"/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предыд.году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99,09%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99,10%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99,42%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99,23%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99,22%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99,29%</w:t>
            </w:r>
          </w:p>
        </w:tc>
      </w:tr>
      <w:tr w:rsidR="00073E1E" w:rsidRPr="00073E1E" w:rsidTr="00073E1E">
        <w:trPr>
          <w:trHeight w:val="9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постоянного населения (среднегодовая), городское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118,07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117,62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117,04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116,42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115,78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115,24</w:t>
            </w:r>
          </w:p>
        </w:tc>
      </w:tr>
      <w:tr w:rsidR="00073E1E" w:rsidRPr="00073E1E" w:rsidTr="00073E1E">
        <w:trPr>
          <w:trHeight w:val="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к </w:t>
            </w:r>
            <w:proofErr w:type="spellStart"/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предыд.году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99,47%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99,62%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99,51%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99,47%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99,45%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99,53%</w:t>
            </w:r>
          </w:p>
        </w:tc>
      </w:tr>
      <w:tr w:rsidR="00073E1E" w:rsidRPr="00073E1E" w:rsidTr="00073E1E">
        <w:trPr>
          <w:trHeight w:val="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постоянного населения (среднегодовая), сельское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13,27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12,54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12,36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11,98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11,62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11,26</w:t>
            </w:r>
          </w:p>
        </w:tc>
      </w:tr>
      <w:tr w:rsidR="00C56FDE" w:rsidRPr="00073E1E" w:rsidTr="000C6890">
        <w:trPr>
          <w:trHeight w:val="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FDE" w:rsidRPr="00073E1E" w:rsidRDefault="00C56FDE" w:rsidP="00C5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FDE" w:rsidRPr="00073E1E" w:rsidRDefault="00C56FDE" w:rsidP="00C56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к </w:t>
            </w:r>
            <w:proofErr w:type="spellStart"/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предыд.году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FDE" w:rsidRPr="00073E1E" w:rsidRDefault="00C56FDE" w:rsidP="00C56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FDE">
              <w:rPr>
                <w:rFonts w:ascii="Times New Roman" w:eastAsia="Times New Roman" w:hAnsi="Times New Roman" w:cs="Times New Roman"/>
                <w:sz w:val="20"/>
                <w:szCs w:val="20"/>
              </w:rPr>
              <w:t>93,74%</w:t>
            </w: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FDE" w:rsidRPr="00073E1E" w:rsidRDefault="00C56FDE" w:rsidP="00C56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94,47%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FDE" w:rsidRPr="00C56FDE" w:rsidRDefault="00C56FDE" w:rsidP="00C56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FDE">
              <w:rPr>
                <w:rFonts w:ascii="Times New Roman" w:eastAsia="Times New Roman" w:hAnsi="Times New Roman" w:cs="Times New Roman"/>
                <w:sz w:val="20"/>
                <w:szCs w:val="20"/>
              </w:rPr>
              <w:t>98,57%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FDE" w:rsidRPr="00C56FDE" w:rsidRDefault="00C56FDE" w:rsidP="00C56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FDE">
              <w:rPr>
                <w:rFonts w:ascii="Times New Roman" w:eastAsia="Times New Roman" w:hAnsi="Times New Roman" w:cs="Times New Roman"/>
                <w:sz w:val="20"/>
                <w:szCs w:val="20"/>
              </w:rPr>
              <w:t>96,93%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FDE" w:rsidRPr="00C56FDE" w:rsidRDefault="00C56FDE" w:rsidP="00C56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FDE">
              <w:rPr>
                <w:rFonts w:ascii="Times New Roman" w:eastAsia="Times New Roman" w:hAnsi="Times New Roman" w:cs="Times New Roman"/>
                <w:sz w:val="20"/>
                <w:szCs w:val="20"/>
              </w:rPr>
              <w:t>97,00%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FDE" w:rsidRPr="00C56FDE" w:rsidRDefault="00C56FDE" w:rsidP="00C56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FDE">
              <w:rPr>
                <w:rFonts w:ascii="Times New Roman" w:eastAsia="Times New Roman" w:hAnsi="Times New Roman" w:cs="Times New Roman"/>
                <w:sz w:val="20"/>
                <w:szCs w:val="20"/>
              </w:rPr>
              <w:t>96,94%</w:t>
            </w:r>
          </w:p>
        </w:tc>
      </w:tr>
      <w:tr w:rsidR="00073E1E" w:rsidRPr="00073E1E" w:rsidTr="00073E1E">
        <w:trPr>
          <w:trHeight w:val="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родившихся на 1000 человек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6,57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6,64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6,81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7,08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7,49</w:t>
            </w:r>
          </w:p>
        </w:tc>
      </w:tr>
      <w:tr w:rsidR="00073E1E" w:rsidRPr="00073E1E" w:rsidTr="00073E1E">
        <w:trPr>
          <w:trHeight w:val="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коэффициент смертности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умерших на 1000 человек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17,31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17,14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16,97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16,91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16,77</w:t>
            </w:r>
          </w:p>
        </w:tc>
      </w:tr>
      <w:tr w:rsidR="00073E1E" w:rsidRPr="00073E1E" w:rsidTr="00073E1E">
        <w:trPr>
          <w:trHeight w:val="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Коэффициент естественного прироста населения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1000 человек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-12,20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-10,74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-10,50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-10,16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-9,83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-9,27</w:t>
            </w:r>
          </w:p>
        </w:tc>
      </w:tr>
      <w:tr w:rsidR="00073E1E" w:rsidRPr="00073E1E" w:rsidTr="00073E1E">
        <w:trPr>
          <w:trHeight w:val="420"/>
        </w:trPr>
        <w:tc>
          <w:tcPr>
            <w:tcW w:w="14591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Промышленное производство (по кругу крупных и средних организаций)</w:t>
            </w:r>
          </w:p>
        </w:tc>
      </w:tr>
      <w:tr w:rsidR="00073E1E" w:rsidRPr="00073E1E" w:rsidTr="00073E1E">
        <w:trPr>
          <w:trHeight w:val="7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 отгруженной продукции (услуг) в действующих ценах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млн.руб.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217 022,15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190 073,09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200 432,07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210 253,25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219 083,88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227 628,15</w:t>
            </w:r>
          </w:p>
        </w:tc>
      </w:tr>
      <w:tr w:rsidR="00073E1E" w:rsidRPr="00073E1E" w:rsidTr="00073E1E">
        <w:trPr>
          <w:trHeight w:val="8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Индекс промышленного производства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к </w:t>
            </w:r>
            <w:proofErr w:type="spellStart"/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предыд.году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110,93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87,58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105,45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104,90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104,20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103,90</w:t>
            </w:r>
          </w:p>
        </w:tc>
      </w:tr>
      <w:tr w:rsidR="00073E1E" w:rsidRPr="00073E1E" w:rsidTr="00073E1E">
        <w:trPr>
          <w:trHeight w:val="330"/>
        </w:trPr>
        <w:tc>
          <w:tcPr>
            <w:tcW w:w="1459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Обрабатывающие производства</w:t>
            </w:r>
          </w:p>
        </w:tc>
      </w:tr>
      <w:tr w:rsidR="00073E1E" w:rsidRPr="00073E1E" w:rsidTr="00073E1E">
        <w:trPr>
          <w:trHeight w:val="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- раздел C: Обрабатывающие производства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208 416,70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180 925,91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190 605,69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200 131,12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208 646,10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216 850,09</w:t>
            </w:r>
          </w:p>
        </w:tc>
      </w:tr>
      <w:tr w:rsidR="00073E1E" w:rsidRPr="00073E1E" w:rsidTr="00073E1E">
        <w:trPr>
          <w:trHeight w:val="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Индекс производства - раздел C: Обрабатывающие производства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к </w:t>
            </w:r>
            <w:proofErr w:type="spellStart"/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предыд.году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86,81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105,35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104,25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103,93</w:t>
            </w:r>
          </w:p>
        </w:tc>
      </w:tr>
      <w:tr w:rsidR="00073E1E" w:rsidRPr="00073E1E" w:rsidTr="00073E1E">
        <w:trPr>
          <w:trHeight w:val="315"/>
        </w:trPr>
        <w:tc>
          <w:tcPr>
            <w:tcW w:w="1459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</w:tr>
      <w:tr w:rsidR="00073E1E" w:rsidRPr="00073E1E" w:rsidTr="00073E1E">
        <w:trPr>
          <w:trHeight w:val="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D: Обеспечение электрической энергией, газом и паром; кондиционирование воздуха, объем отгруженной продукции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7 646,42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7 714,78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8 277,96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8 493,19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8 722,50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8 966,73</w:t>
            </w:r>
          </w:p>
        </w:tc>
      </w:tr>
      <w:tr w:rsidR="00073E1E" w:rsidRPr="00073E1E" w:rsidTr="00073E1E">
        <w:trPr>
          <w:trHeight w:val="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Индекс производства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к </w:t>
            </w:r>
            <w:proofErr w:type="spellStart"/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предыд.году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100,89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107,30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102,60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102,70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102,80</w:t>
            </w:r>
          </w:p>
        </w:tc>
      </w:tr>
      <w:tr w:rsidR="00073E1E" w:rsidRPr="00073E1E" w:rsidTr="00073E1E">
        <w:trPr>
          <w:trHeight w:val="375"/>
        </w:trPr>
        <w:tc>
          <w:tcPr>
            <w:tcW w:w="1459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</w:tr>
      <w:tr w:rsidR="00073E1E" w:rsidRPr="00073E1E" w:rsidTr="00073E1E">
        <w:trPr>
          <w:trHeight w:val="577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Е: Водоснабжение; водоотведение, организация сбора и утилизации отходов, деятельность по ликвидации загрязнений, объем отгруженной продукции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959,03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1 432,40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1 548,42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1 628,94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1 715,28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1 811,33</w:t>
            </w:r>
          </w:p>
        </w:tc>
      </w:tr>
      <w:tr w:rsidR="00073E1E" w:rsidRPr="00073E1E" w:rsidTr="00073E1E">
        <w:trPr>
          <w:trHeight w:val="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раздел Е: Водоснабжение; водоотведение, организация сбора и утилизации отходов, </w:t>
            </w: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деятельность по ликвидации загрязнений, индекс производства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% к </w:t>
            </w:r>
            <w:proofErr w:type="spellStart"/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предыд.году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149,36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108,10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105,20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105,30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105,60</w:t>
            </w:r>
          </w:p>
        </w:tc>
      </w:tr>
      <w:tr w:rsidR="00073E1E" w:rsidRPr="00073E1E" w:rsidTr="00073E1E">
        <w:trPr>
          <w:trHeight w:val="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Потребление электроэнергии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млн.кВт.ч</w:t>
            </w:r>
            <w:proofErr w:type="spellEnd"/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262,10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258,63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258,32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250,83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250,83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250,83</w:t>
            </w:r>
          </w:p>
        </w:tc>
      </w:tr>
      <w:tr w:rsidR="00073E1E" w:rsidRPr="00073E1E" w:rsidTr="00073E1E">
        <w:trPr>
          <w:trHeight w:val="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группам потребителей: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73E1E" w:rsidRPr="00073E1E" w:rsidTr="00073E1E">
        <w:trPr>
          <w:trHeight w:val="31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млн. кВт. 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101,20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99,77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99,77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99,77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99,77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99,77</w:t>
            </w:r>
          </w:p>
        </w:tc>
      </w:tr>
      <w:tr w:rsidR="00073E1E" w:rsidRPr="00073E1E" w:rsidTr="00073E1E">
        <w:trPr>
          <w:trHeight w:val="31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потребители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млн. кВт. 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160,90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158,87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158,55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151,06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151,06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151,06</w:t>
            </w:r>
          </w:p>
        </w:tc>
      </w:tr>
      <w:tr w:rsidR="00073E1E" w:rsidRPr="00073E1E" w:rsidTr="00073E1E">
        <w:trPr>
          <w:trHeight w:val="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Средние тарифы на электроэнергию, отпущенную различным категориям потребителей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руб./ </w:t>
            </w:r>
            <w:proofErr w:type="spellStart"/>
            <w:r w:rsidRPr="00073E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тыс.кВт.ч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5 787,35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6 279,93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6 732,09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7 014,84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7 309,46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7 616,46</w:t>
            </w:r>
          </w:p>
        </w:tc>
      </w:tr>
      <w:tr w:rsidR="00073E1E" w:rsidRPr="00073E1E" w:rsidTr="00073E1E">
        <w:trPr>
          <w:trHeight w:val="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тарифов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период с начала года к соотв. периоду предыдущего </w:t>
            </w:r>
            <w:proofErr w:type="gramStart"/>
            <w:r w:rsidRPr="00073E1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года,%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104,88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108,51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107,20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104,20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104,20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104,20</w:t>
            </w:r>
          </w:p>
        </w:tc>
      </w:tr>
      <w:tr w:rsidR="00073E1E" w:rsidRPr="00073E1E" w:rsidTr="00073E1E">
        <w:trPr>
          <w:trHeight w:val="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sz w:val="24"/>
                <w:szCs w:val="24"/>
              </w:rPr>
              <w:t>% декабрь к декабрю предыдущего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113,72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107,20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104,20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104,20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104,20</w:t>
            </w:r>
          </w:p>
        </w:tc>
      </w:tr>
      <w:tr w:rsidR="00073E1E" w:rsidRPr="00073E1E" w:rsidTr="00073E1E">
        <w:trPr>
          <w:trHeight w:val="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73E1E" w:rsidRPr="00073E1E" w:rsidTr="00073E1E">
        <w:trPr>
          <w:trHeight w:val="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073E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тыс.кВт.ч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4 129,03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4 575,52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4 904,96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5 110,97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5 325,63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5 549,30</w:t>
            </w:r>
          </w:p>
        </w:tc>
      </w:tr>
      <w:tr w:rsidR="00073E1E" w:rsidRPr="00073E1E" w:rsidTr="00073E1E">
        <w:trPr>
          <w:trHeight w:val="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тарифов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sz w:val="24"/>
                <w:szCs w:val="24"/>
              </w:rPr>
              <w:t>за период с начала года к соотв. периоду предыдущего года,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3E1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104,88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110,81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107,20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104,20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104,20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104,20</w:t>
            </w:r>
          </w:p>
        </w:tc>
      </w:tr>
      <w:tr w:rsidR="00073E1E" w:rsidRPr="00073E1E" w:rsidTr="00073E1E">
        <w:trPr>
          <w:trHeight w:val="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sz w:val="24"/>
                <w:szCs w:val="24"/>
              </w:rPr>
              <w:t>% декабрь к декабрю предыдущего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116,17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107,20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104,20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104,20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104,20</w:t>
            </w:r>
          </w:p>
        </w:tc>
      </w:tr>
      <w:tr w:rsidR="00073E1E" w:rsidRPr="00073E1E" w:rsidTr="00073E1E">
        <w:trPr>
          <w:trHeight w:val="405"/>
        </w:trPr>
        <w:tc>
          <w:tcPr>
            <w:tcW w:w="1459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Сельское хозяйство</w:t>
            </w:r>
          </w:p>
        </w:tc>
      </w:tr>
      <w:tr w:rsidR="00073E1E" w:rsidRPr="00073E1E" w:rsidTr="00073E1E">
        <w:trPr>
          <w:trHeight w:val="7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Продукция сельского хозяйства в хозяйствах всех категорий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млн.руб.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8 950,00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9 145,20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9 605,14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10 105,21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10 809,85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11 550,11</w:t>
            </w:r>
          </w:p>
        </w:tc>
      </w:tr>
      <w:tr w:rsidR="00073E1E" w:rsidRPr="00073E1E" w:rsidTr="00073E1E">
        <w:trPr>
          <w:trHeight w:val="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к </w:t>
            </w:r>
            <w:proofErr w:type="spellStart"/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предыд.году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94,80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102,18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105,03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105,21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106,97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106,85</w:t>
            </w:r>
          </w:p>
        </w:tc>
      </w:tr>
      <w:tr w:rsidR="00073E1E" w:rsidRPr="00073E1E" w:rsidTr="00073E1E">
        <w:trPr>
          <w:trHeight w:val="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73E1E" w:rsidRPr="00073E1E" w:rsidTr="00073E1E">
        <w:trPr>
          <w:trHeight w:val="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Растениеводство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млн.руб.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5 280,50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4 664,05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3 842,06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3 941,03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4 107,74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4 504,54</w:t>
            </w:r>
          </w:p>
        </w:tc>
      </w:tr>
      <w:tr w:rsidR="00073E1E" w:rsidRPr="00073E1E" w:rsidTr="00073E1E">
        <w:trPr>
          <w:trHeight w:val="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Животноводство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млн.руб.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3 669,50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4 481,15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5 763,08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6 164,18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6 702,11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7 045,56</w:t>
            </w:r>
          </w:p>
        </w:tc>
      </w:tr>
      <w:tr w:rsidR="00073E1E" w:rsidRPr="00073E1E" w:rsidTr="00073E1E">
        <w:trPr>
          <w:trHeight w:val="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Продукция сельского хозяйства по категориям хозяйств: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73E1E" w:rsidRPr="00073E1E" w:rsidTr="00073E1E">
        <w:trPr>
          <w:trHeight w:val="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Продукция в сельскохозяйственных организациях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3 696,35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3 676,37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3 669,16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3 900,61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4 205,03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4 400,59</w:t>
            </w:r>
          </w:p>
        </w:tc>
      </w:tr>
      <w:tr w:rsidR="00073E1E" w:rsidRPr="00073E1E" w:rsidTr="00073E1E">
        <w:trPr>
          <w:trHeight w:val="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Продукция в крестьянских (фермерских) хозяйствах и у индивидуальных предпринимателей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3 633,70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3 804,40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4 197,45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4 385,66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4 767,14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5 301,50</w:t>
            </w:r>
          </w:p>
        </w:tc>
      </w:tr>
      <w:tr w:rsidR="00073E1E" w:rsidRPr="00073E1E" w:rsidTr="00073E1E">
        <w:trPr>
          <w:trHeight w:val="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Продукция в хозяйствах населения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1 619,95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1 664,43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1 738,53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1 818,94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1 837,67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1 848,02</w:t>
            </w:r>
          </w:p>
        </w:tc>
      </w:tr>
      <w:tr w:rsidR="00073E1E" w:rsidRPr="00073E1E" w:rsidTr="00073E1E">
        <w:trPr>
          <w:trHeight w:val="315"/>
        </w:trPr>
        <w:tc>
          <w:tcPr>
            <w:tcW w:w="1459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Производство важнейших видов продукции в натуральном выражении </w:t>
            </w:r>
          </w:p>
        </w:tc>
      </w:tr>
      <w:tr w:rsidR="00073E1E" w:rsidRPr="00073E1E" w:rsidTr="00073E1E">
        <w:trPr>
          <w:trHeight w:val="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Валовой сбор зерна (в весе после доработки)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тонн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121,39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123,77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109,58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113,41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117,95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123,26</w:t>
            </w:r>
          </w:p>
        </w:tc>
      </w:tr>
      <w:tr w:rsidR="00073E1E" w:rsidRPr="00073E1E" w:rsidTr="00073E1E">
        <w:trPr>
          <w:trHeight w:val="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Валовой сбор картофеля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тонн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169,88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311,63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235,11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243,34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253,07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264,46</w:t>
            </w:r>
          </w:p>
        </w:tc>
      </w:tr>
      <w:tr w:rsidR="00073E1E" w:rsidRPr="00073E1E" w:rsidTr="00073E1E">
        <w:trPr>
          <w:trHeight w:val="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Валовой сбор овощей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тонн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2,07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1,84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73E1E" w:rsidRPr="00073E1E" w:rsidTr="00073E1E">
        <w:trPr>
          <w:trHeight w:val="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sz w:val="24"/>
                <w:szCs w:val="24"/>
              </w:rPr>
              <w:t>Скот и птица на убой (в живом весе)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18,71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7,14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14,50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15,50</w:t>
            </w:r>
          </w:p>
        </w:tc>
      </w:tr>
      <w:tr w:rsidR="00073E1E" w:rsidRPr="00073E1E" w:rsidTr="00073E1E">
        <w:trPr>
          <w:trHeight w:val="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Молоко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тонн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23,66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24,43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24,50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24,56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24,61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24,65</w:t>
            </w:r>
          </w:p>
        </w:tc>
      </w:tr>
      <w:tr w:rsidR="00073E1E" w:rsidRPr="00073E1E" w:rsidTr="00073E1E">
        <w:trPr>
          <w:trHeight w:val="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добавки для бетонов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тыс.тонн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141,90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148,20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154,64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161,19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167,64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174,06</w:t>
            </w:r>
          </w:p>
        </w:tc>
      </w:tr>
      <w:tr w:rsidR="00073E1E" w:rsidRPr="00073E1E" w:rsidTr="00073E1E">
        <w:trPr>
          <w:trHeight w:val="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гофрированный картон, бумажная и картонная тара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м2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152 363,65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174 513,15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198 504,96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198 504,96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198 504,96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219 360,67</w:t>
            </w:r>
          </w:p>
        </w:tc>
      </w:tr>
      <w:tr w:rsidR="00073E1E" w:rsidRPr="00073E1E" w:rsidTr="00073E1E">
        <w:trPr>
          <w:trHeight w:val="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аммиак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тыс.тонн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1 796,00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1 808,00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1 808,00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1 808,00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1 808,00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1 812,80</w:t>
            </w:r>
          </w:p>
        </w:tc>
      </w:tr>
      <w:tr w:rsidR="00073E1E" w:rsidRPr="00073E1E" w:rsidTr="00073E1E">
        <w:trPr>
          <w:trHeight w:val="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карбамид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тыс.тонн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1 692,00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1 682,00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1 682,00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1 682,00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1 682,00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1 678,00</w:t>
            </w:r>
          </w:p>
        </w:tc>
      </w:tr>
      <w:tr w:rsidR="00073E1E" w:rsidRPr="00073E1E" w:rsidTr="00073E1E">
        <w:trPr>
          <w:trHeight w:val="8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амселитра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тыс.тонн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1 844,00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1 786,00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1 786,00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1 786,00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1 786,00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1 762,80</w:t>
            </w:r>
          </w:p>
        </w:tc>
      </w:tr>
      <w:tr w:rsidR="00073E1E" w:rsidRPr="00073E1E" w:rsidTr="00073E1E">
        <w:trPr>
          <w:trHeight w:val="31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тыс.тонн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287,00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243,00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243,00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243,00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243,00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225,40</w:t>
            </w:r>
          </w:p>
        </w:tc>
      </w:tr>
      <w:tr w:rsidR="00073E1E" w:rsidRPr="00073E1E" w:rsidTr="00073E1E">
        <w:trPr>
          <w:trHeight w:val="8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Метанол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тыс.тонн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216,00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162,00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162,00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140,40</w:t>
            </w:r>
          </w:p>
        </w:tc>
      </w:tr>
      <w:tr w:rsidR="00073E1E" w:rsidRPr="00073E1E" w:rsidTr="00073E1E">
        <w:trPr>
          <w:trHeight w:val="8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 + АНУ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тыс.тонн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404,00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391,00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391,00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391,00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391,00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385,80</w:t>
            </w:r>
          </w:p>
        </w:tc>
      </w:tr>
      <w:tr w:rsidR="00073E1E" w:rsidRPr="00073E1E" w:rsidTr="00073E1E">
        <w:trPr>
          <w:trHeight w:val="85"/>
        </w:trPr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AdBlue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тыс.тонн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17,20</w:t>
            </w:r>
          </w:p>
        </w:tc>
      </w:tr>
      <w:tr w:rsidR="00073E1E" w:rsidRPr="00073E1E" w:rsidTr="00073E1E">
        <w:trPr>
          <w:trHeight w:val="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жидкий хлор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тыс.тонн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4 814,00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5 513,00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5 513,00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5 513,00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5 513,00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5 792,60</w:t>
            </w:r>
          </w:p>
        </w:tc>
      </w:tr>
      <w:tr w:rsidR="00073E1E" w:rsidRPr="00073E1E" w:rsidTr="00073E1E">
        <w:trPr>
          <w:trHeight w:val="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огнеупорные изделия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тонн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35,30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36,40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37,40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38,40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39,85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40,80</w:t>
            </w:r>
          </w:p>
        </w:tc>
      </w:tr>
      <w:tr w:rsidR="00073E1E" w:rsidRPr="00073E1E" w:rsidTr="00073E1E">
        <w:trPr>
          <w:trHeight w:val="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ЖБИ и товарный бетон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spellEnd"/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31,50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40,60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41,50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46,55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49,21</w:t>
            </w:r>
          </w:p>
        </w:tc>
      </w:tr>
      <w:tr w:rsidR="00073E1E" w:rsidRPr="00073E1E" w:rsidTr="00073E1E">
        <w:trPr>
          <w:trHeight w:val="8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Плиты, листы, трубы и профили пластмассовые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11 800,70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24 304,00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27 200,00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31 150,00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32 300,00</w:t>
            </w:r>
          </w:p>
        </w:tc>
      </w:tr>
      <w:tr w:rsidR="00073E1E" w:rsidRPr="00073E1E" w:rsidTr="00073E1E">
        <w:trPr>
          <w:trHeight w:val="85"/>
        </w:trPr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Плитка керамическая для внутренней отделки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м2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1 455,00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1 484,00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1 484,00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1 558,70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1 569,46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1 601,32</w:t>
            </w:r>
          </w:p>
        </w:tc>
      </w:tr>
      <w:tr w:rsidR="00073E1E" w:rsidRPr="00073E1E" w:rsidTr="00073E1E">
        <w:trPr>
          <w:trHeight w:val="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гипсовое вяжущее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тыс.тонн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364,89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372,19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379,63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392,28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398,49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407,68</w:t>
            </w:r>
          </w:p>
        </w:tc>
      </w:tr>
      <w:tr w:rsidR="00073E1E" w:rsidRPr="00073E1E" w:rsidTr="00073E1E">
        <w:trPr>
          <w:trHeight w:val="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гипсокартонные листы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м2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17 192,70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17 536,55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17 887,28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17 586,71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18 058,82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18 187,13</w:t>
            </w:r>
          </w:p>
        </w:tc>
      </w:tr>
      <w:tr w:rsidR="00073E1E" w:rsidRPr="00073E1E" w:rsidTr="00073E1E">
        <w:trPr>
          <w:trHeight w:val="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гипсовые ПГП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тыс.м2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873,93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891,41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909,24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931,45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947,95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967,22</w:t>
            </w:r>
          </w:p>
        </w:tc>
      </w:tr>
      <w:tr w:rsidR="00073E1E" w:rsidRPr="00073E1E" w:rsidTr="00073E1E">
        <w:trPr>
          <w:trHeight w:val="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акустические плиты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тыс.м2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157,73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160,89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164,10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166,11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169,49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172,28</w:t>
            </w:r>
          </w:p>
        </w:tc>
      </w:tr>
      <w:tr w:rsidR="00073E1E" w:rsidRPr="00073E1E" w:rsidTr="00073E1E">
        <w:trPr>
          <w:trHeight w:val="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24 073,20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24 554,66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25 045,75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25 862,69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26 276,17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26 876,69</w:t>
            </w:r>
          </w:p>
        </w:tc>
      </w:tr>
      <w:tr w:rsidR="00073E1E" w:rsidRPr="00073E1E" w:rsidTr="00073E1E">
        <w:trPr>
          <w:trHeight w:val="31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сухие смеси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тыс.тонн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99,48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101,47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103,50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105,43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107,43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109,42</w:t>
            </w:r>
          </w:p>
        </w:tc>
      </w:tr>
      <w:tr w:rsidR="00073E1E" w:rsidRPr="00073E1E" w:rsidTr="00C56FDE">
        <w:trPr>
          <w:trHeight w:val="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перлит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тыс.м3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30,07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30,67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31,28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31,87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32,47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33,07</w:t>
            </w:r>
          </w:p>
        </w:tc>
      </w:tr>
      <w:tr w:rsidR="00073E1E" w:rsidRPr="00073E1E" w:rsidTr="00C56FDE">
        <w:trPr>
          <w:trHeight w:val="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цементные плиты Аквапанель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кв.м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2 519,51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2 518,61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2 524,64</w:t>
            </w:r>
          </w:p>
        </w:tc>
      </w:tr>
      <w:tr w:rsidR="00073E1E" w:rsidRPr="00073E1E" w:rsidTr="00C56FDE">
        <w:trPr>
          <w:trHeight w:val="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Теплоэнергия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тыс.Гкал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3 230,52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3 239,13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3 248,25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3 286,81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3 306,14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3 321,84</w:t>
            </w:r>
          </w:p>
        </w:tc>
      </w:tr>
      <w:tr w:rsidR="00073E1E" w:rsidRPr="00073E1E" w:rsidTr="00073E1E">
        <w:trPr>
          <w:trHeight w:val="31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млрд. кВт. ч.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1,23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1,23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1,23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1,23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1,23</w:t>
            </w:r>
          </w:p>
        </w:tc>
      </w:tr>
      <w:tr w:rsidR="00073E1E" w:rsidRPr="00073E1E" w:rsidTr="00073E1E">
        <w:trPr>
          <w:trHeight w:val="31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произведенная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3E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3E1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73E1E" w:rsidRPr="00073E1E" w:rsidTr="00073E1E">
        <w:trPr>
          <w:trHeight w:val="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тепловыми электростанциями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млрд. кВт. ч.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1,23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1,23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1,23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1,23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1,23</w:t>
            </w:r>
          </w:p>
        </w:tc>
      </w:tr>
      <w:tr w:rsidR="00073E1E" w:rsidRPr="00073E1E" w:rsidTr="00C56FDE">
        <w:trPr>
          <w:trHeight w:val="85"/>
        </w:trPr>
        <w:tc>
          <w:tcPr>
            <w:tcW w:w="1459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Строительство</w:t>
            </w:r>
          </w:p>
        </w:tc>
      </w:tr>
      <w:tr w:rsidR="00073E1E" w:rsidRPr="00073E1E" w:rsidTr="00C56FDE">
        <w:trPr>
          <w:trHeight w:val="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выполненных работ по виду деятельности "строительство" (Раздел F)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855,83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850,70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880,47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917,45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964,43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1 004,93</w:t>
            </w:r>
          </w:p>
        </w:tc>
      </w:tr>
      <w:tr w:rsidR="00073E1E" w:rsidRPr="00073E1E" w:rsidTr="00C56FDE">
        <w:trPr>
          <w:trHeight w:val="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к пред. году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96,50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99,40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103,50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104,20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105,12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104,20</w:t>
            </w:r>
          </w:p>
        </w:tc>
      </w:tr>
      <w:tr w:rsidR="00073E1E" w:rsidRPr="00073E1E" w:rsidTr="00073E1E">
        <w:trPr>
          <w:trHeight w:val="315"/>
        </w:trPr>
        <w:tc>
          <w:tcPr>
            <w:tcW w:w="1459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Инвестиции</w:t>
            </w:r>
          </w:p>
        </w:tc>
      </w:tr>
      <w:tr w:rsidR="00073E1E" w:rsidRPr="00073E1E" w:rsidTr="00C56FDE">
        <w:trPr>
          <w:trHeight w:val="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 инвестиций в основной капитал за счет всех источников финансирования (без субъектов малого предпринимательства и </w:t>
            </w: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параметров неформальной деятельности) - всего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млн. 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21 616,35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19 323,65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21 470,51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23 682,91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25 761,07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27 835,86</w:t>
            </w:r>
          </w:p>
        </w:tc>
      </w:tr>
      <w:tr w:rsidR="00073E1E" w:rsidRPr="00073E1E" w:rsidTr="00C56FDE">
        <w:trPr>
          <w:trHeight w:val="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Индекс физического объема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к пред. году в </w:t>
            </w:r>
            <w:proofErr w:type="spellStart"/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сопост.ценах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142,62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89,39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111,11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110,30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108,77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108,05</w:t>
            </w:r>
          </w:p>
        </w:tc>
      </w:tr>
      <w:tr w:rsidR="00073E1E" w:rsidRPr="00073E1E" w:rsidTr="00C56FDE">
        <w:trPr>
          <w:trHeight w:val="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73E1E" w:rsidRPr="00073E1E" w:rsidTr="00C56FDE">
        <w:trPr>
          <w:trHeight w:val="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Собственные средства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20 072,01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17 760,92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20 637,85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22 808,63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24 869,29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26 917,34</w:t>
            </w:r>
          </w:p>
        </w:tc>
      </w:tr>
      <w:tr w:rsidR="00073E1E" w:rsidRPr="00073E1E" w:rsidTr="00C56FDE">
        <w:trPr>
          <w:trHeight w:val="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Привлеченные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1 544,35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1 562,73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832,65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874,28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918,52</w:t>
            </w:r>
          </w:p>
        </w:tc>
      </w:tr>
      <w:tr w:rsidR="00073E1E" w:rsidRPr="00073E1E" w:rsidTr="00C56FDE">
        <w:trPr>
          <w:trHeight w:val="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73E1E" w:rsidRPr="00073E1E" w:rsidTr="00C56FDE">
        <w:trPr>
          <w:trHeight w:val="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566,52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305,41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332,15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350,68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375,90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398,04</w:t>
            </w:r>
          </w:p>
        </w:tc>
      </w:tr>
      <w:tr w:rsidR="00073E1E" w:rsidRPr="00073E1E" w:rsidTr="00C56FDE">
        <w:trPr>
          <w:trHeight w:val="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из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72,83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75,54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77,05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80,90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84,14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87,50</w:t>
            </w:r>
          </w:p>
        </w:tc>
      </w:tr>
      <w:tr w:rsidR="00073E1E" w:rsidRPr="00073E1E" w:rsidTr="00C56FDE">
        <w:trPr>
          <w:trHeight w:val="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из бюджета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371,92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138,34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149,41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159,87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177,45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191,65</w:t>
            </w:r>
          </w:p>
        </w:tc>
      </w:tr>
      <w:tr w:rsidR="00073E1E" w:rsidRPr="00073E1E" w:rsidTr="00C56FDE">
        <w:trPr>
          <w:trHeight w:val="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из бюджета муниципального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121,78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93,53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105,69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109,92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114,31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118,88</w:t>
            </w:r>
          </w:p>
        </w:tc>
      </w:tr>
      <w:tr w:rsidR="00073E1E" w:rsidRPr="00073E1E" w:rsidTr="00C56FDE">
        <w:trPr>
          <w:trHeight w:val="85"/>
        </w:trPr>
        <w:tc>
          <w:tcPr>
            <w:tcW w:w="1459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FDE" w:rsidRDefault="00073E1E" w:rsidP="00073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073E1E" w:rsidRPr="00073E1E" w:rsidRDefault="00073E1E" w:rsidP="00073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Финансы</w:t>
            </w:r>
          </w:p>
        </w:tc>
      </w:tr>
      <w:tr w:rsidR="00073E1E" w:rsidRPr="00073E1E" w:rsidTr="00C56FDE">
        <w:trPr>
          <w:trHeight w:val="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Прибыль прибыльных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92 000 519,00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77 251 117,00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69 983 538,81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73 482 715,75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76 156 851,54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79 514 694,11</w:t>
            </w:r>
          </w:p>
        </w:tc>
      </w:tr>
      <w:tr w:rsidR="00073E1E" w:rsidRPr="00073E1E" w:rsidTr="00C56FDE">
        <w:trPr>
          <w:trHeight w:val="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Убыток убыточных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1 287 490,00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9 094 505,00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1 072 614,90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1 051 162,60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1 021 730,05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981 882,58</w:t>
            </w:r>
          </w:p>
        </w:tc>
      </w:tr>
      <w:tr w:rsidR="00073E1E" w:rsidRPr="00073E1E" w:rsidTr="00C56FDE">
        <w:trPr>
          <w:trHeight w:val="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Справочно: сальдо прибылей и убытков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90 713 029,00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68 156 612,00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68 910 923,91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72 431 553,15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75 135 121,49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78 532 811,54</w:t>
            </w:r>
          </w:p>
        </w:tc>
      </w:tr>
      <w:tr w:rsidR="00073E1E" w:rsidRPr="00073E1E" w:rsidTr="00C56FDE">
        <w:trPr>
          <w:trHeight w:val="85"/>
        </w:trPr>
        <w:tc>
          <w:tcPr>
            <w:tcW w:w="1459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6FDE" w:rsidRDefault="00C56FDE" w:rsidP="00073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73E1E" w:rsidRPr="00073E1E" w:rsidRDefault="00073E1E" w:rsidP="00073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Труд и занятость (ко кругу крупных и средних организаций)</w:t>
            </w:r>
          </w:p>
        </w:tc>
      </w:tr>
      <w:tr w:rsidR="00073E1E" w:rsidRPr="00073E1E" w:rsidTr="00C56FDE">
        <w:trPr>
          <w:trHeight w:val="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Среднесписочная численность работников организаций -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30 275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29 353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29 285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29 127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28 865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28 663</w:t>
            </w:r>
          </w:p>
        </w:tc>
      </w:tr>
      <w:tr w:rsidR="00073E1E" w:rsidRPr="00073E1E" w:rsidTr="00C56FDE">
        <w:trPr>
          <w:trHeight w:val="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начисленной заработной платы всех работников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20 014 468,80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23 141 920,20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27 234 594,64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31 462 293,57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35 056 899,99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37 160 313,99</w:t>
            </w:r>
          </w:p>
        </w:tc>
      </w:tr>
      <w:tr w:rsidR="00073E1E" w:rsidRPr="00073E1E" w:rsidTr="00C56FDE">
        <w:trPr>
          <w:trHeight w:val="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Выплаты социального характера -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301 187,8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287 198,0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292 942,0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300 265,5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307 171,6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sz w:val="20"/>
                <w:szCs w:val="20"/>
              </w:rPr>
              <w:t>314 850,9</w:t>
            </w:r>
          </w:p>
        </w:tc>
      </w:tr>
      <w:tr w:rsidR="00073E1E" w:rsidRPr="00073E1E" w:rsidTr="00C56FDE">
        <w:trPr>
          <w:trHeight w:val="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среднемесячная номинальная начисленная заработная плата на одного работника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55 025,00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65 699,30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77 498,70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90 014,57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101 209,73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108 038,59</w:t>
            </w:r>
          </w:p>
        </w:tc>
      </w:tr>
      <w:tr w:rsidR="00073E1E" w:rsidRPr="00073E1E" w:rsidTr="00C56FDE">
        <w:trPr>
          <w:trHeight w:val="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реальная заработная плата на одного работника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к предыдущему году в сопоставимых ценах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112,82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109,73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102,64</w:t>
            </w:r>
          </w:p>
        </w:tc>
      </w:tr>
      <w:tr w:rsidR="00073E1E" w:rsidRPr="00073E1E" w:rsidTr="00073E1E">
        <w:trPr>
          <w:trHeight w:val="315"/>
        </w:trPr>
        <w:tc>
          <w:tcPr>
            <w:tcW w:w="1459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социальной сферы</w:t>
            </w:r>
          </w:p>
        </w:tc>
      </w:tr>
      <w:tr w:rsidR="00073E1E" w:rsidRPr="00073E1E" w:rsidTr="00C56FDE">
        <w:trPr>
          <w:trHeight w:val="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детей в дошкольных образовательных учреждениях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4 850</w:t>
            </w:r>
          </w:p>
        </w:tc>
      </w:tr>
      <w:tr w:rsidR="00073E1E" w:rsidRPr="00073E1E" w:rsidTr="00C56FDE">
        <w:trPr>
          <w:trHeight w:val="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учащихся в общеобразовательных учреждениях: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14 248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14 430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14 400</w:t>
            </w:r>
          </w:p>
        </w:tc>
      </w:tr>
      <w:tr w:rsidR="00073E1E" w:rsidRPr="00073E1E" w:rsidTr="00C56FDE">
        <w:trPr>
          <w:trHeight w:val="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Ввод в действие жилых домов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кв. м общей площади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51,255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45,076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39,500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40,500</w:t>
            </w:r>
          </w:p>
        </w:tc>
      </w:tr>
      <w:tr w:rsidR="00073E1E" w:rsidRPr="00073E1E" w:rsidTr="00C56FDE">
        <w:trPr>
          <w:trHeight w:val="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Протяженность автомобильных дорог местного значения с твердым покрытием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355,2</w:t>
            </w:r>
          </w:p>
        </w:tc>
      </w:tr>
      <w:tr w:rsidR="00073E1E" w:rsidRPr="00073E1E" w:rsidTr="00C56FDE">
        <w:trPr>
          <w:trHeight w:val="8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73E1E" w:rsidRPr="00073E1E" w:rsidTr="00C56FDE">
        <w:trPr>
          <w:trHeight w:val="7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3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протяженность улиц, набережных, проездов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E1E" w:rsidRPr="00073E1E" w:rsidRDefault="00073E1E" w:rsidP="00073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</w:tr>
    </w:tbl>
    <w:p w:rsidR="00073E1E" w:rsidRDefault="00073E1E" w:rsidP="00AF09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3E1E" w:rsidRPr="00F60480" w:rsidRDefault="00073E1E" w:rsidP="00AF09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822" w:rsidRPr="00F60480" w:rsidRDefault="00193822" w:rsidP="00AF09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FA36B9" w:rsidRDefault="00FA36B9" w:rsidP="00AF09A7">
      <w:pPr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FA36B9" w:rsidSect="00AF1E03">
          <w:headerReference w:type="default" r:id="rId8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176A98" w:rsidRPr="00F60480" w:rsidRDefault="00176A98" w:rsidP="00176A98">
      <w:pPr>
        <w:pStyle w:val="ac"/>
        <w:jc w:val="center"/>
        <w:rPr>
          <w:b/>
          <w:bCs/>
          <w:szCs w:val="28"/>
        </w:rPr>
      </w:pPr>
      <w:r w:rsidRPr="00F60480">
        <w:rPr>
          <w:b/>
          <w:bCs/>
          <w:szCs w:val="28"/>
        </w:rPr>
        <w:lastRenderedPageBreak/>
        <w:t xml:space="preserve">Пояснительная записка к прогнозным показателям социально-экономического развития муниципального образования город Новомосковск </w:t>
      </w:r>
    </w:p>
    <w:p w:rsidR="00176A98" w:rsidRPr="00F60480" w:rsidRDefault="00176A98" w:rsidP="00176A98">
      <w:pPr>
        <w:pStyle w:val="ac"/>
        <w:jc w:val="center"/>
        <w:rPr>
          <w:b/>
          <w:bCs/>
          <w:szCs w:val="28"/>
        </w:rPr>
      </w:pPr>
      <w:r w:rsidRPr="00F60480">
        <w:rPr>
          <w:b/>
          <w:bCs/>
          <w:szCs w:val="28"/>
        </w:rPr>
        <w:t>на 202</w:t>
      </w:r>
      <w:r w:rsidR="00C56FDE">
        <w:rPr>
          <w:b/>
          <w:bCs/>
          <w:szCs w:val="28"/>
        </w:rPr>
        <w:t>5</w:t>
      </w:r>
      <w:r w:rsidRPr="00F60480">
        <w:rPr>
          <w:b/>
          <w:bCs/>
          <w:szCs w:val="28"/>
        </w:rPr>
        <w:t xml:space="preserve"> год и на период до 202</w:t>
      </w:r>
      <w:r w:rsidR="00C56FDE">
        <w:rPr>
          <w:b/>
          <w:bCs/>
          <w:szCs w:val="28"/>
        </w:rPr>
        <w:t>7</w:t>
      </w:r>
      <w:r w:rsidRPr="00F60480">
        <w:rPr>
          <w:b/>
          <w:bCs/>
          <w:szCs w:val="28"/>
        </w:rPr>
        <w:t xml:space="preserve"> года.</w:t>
      </w:r>
    </w:p>
    <w:p w:rsidR="00176A98" w:rsidRPr="00F60480" w:rsidRDefault="00176A98" w:rsidP="00176A98">
      <w:pPr>
        <w:pStyle w:val="ac"/>
        <w:jc w:val="both"/>
        <w:rPr>
          <w:bCs/>
          <w:szCs w:val="28"/>
        </w:rPr>
      </w:pPr>
    </w:p>
    <w:p w:rsidR="00176A98" w:rsidRPr="00F60480" w:rsidRDefault="00FD710D" w:rsidP="00176A98">
      <w:pPr>
        <w:pStyle w:val="ac"/>
        <w:ind w:firstLine="709"/>
        <w:jc w:val="both"/>
        <w:rPr>
          <w:bCs/>
          <w:szCs w:val="28"/>
        </w:rPr>
      </w:pPr>
      <w:r w:rsidRPr="005823E1">
        <w:rPr>
          <w:bCs/>
          <w:szCs w:val="28"/>
        </w:rPr>
        <w:t>Воздействие внешних экономических и геополитических факторов вносит определенные коррективы в темпы роста некоторых показателей социально-экономического развития муниципального образования, однако сохранение стабильно высокого спроса на товары промышленного производства и сельского хозяйства дают основания для умеренно оптимистичного прогноза на следующие три года.</w:t>
      </w:r>
      <w:r w:rsidR="00176A98" w:rsidRPr="00F60480">
        <w:rPr>
          <w:bCs/>
          <w:szCs w:val="28"/>
        </w:rPr>
        <w:t xml:space="preserve"> </w:t>
      </w:r>
    </w:p>
    <w:p w:rsidR="00176A98" w:rsidRPr="00F60480" w:rsidRDefault="00176A98" w:rsidP="00176A98">
      <w:pPr>
        <w:pStyle w:val="ac"/>
        <w:ind w:firstLine="708"/>
        <w:jc w:val="both"/>
        <w:rPr>
          <w:bCs/>
          <w:szCs w:val="28"/>
        </w:rPr>
      </w:pPr>
      <w:r w:rsidRPr="00F60480">
        <w:rPr>
          <w:b/>
          <w:bCs/>
          <w:szCs w:val="28"/>
        </w:rPr>
        <w:t>Демографическая ситуация</w:t>
      </w:r>
      <w:r w:rsidRPr="00F60480">
        <w:rPr>
          <w:bCs/>
          <w:szCs w:val="28"/>
        </w:rPr>
        <w:t>. Статистическое наблюдение показывает ежегодное снижение численности населения муниципального образования, обусловленное, прежде всего, превышением показателя смертности над рождаемостью. Фактическая среднегодовая численность населения муниципального образования город Новомосковск за 20</w:t>
      </w:r>
      <w:r w:rsidR="00F51CF2" w:rsidRPr="00F60480">
        <w:rPr>
          <w:bCs/>
          <w:szCs w:val="28"/>
        </w:rPr>
        <w:t>2</w:t>
      </w:r>
      <w:r w:rsidR="00C56FDE">
        <w:rPr>
          <w:bCs/>
          <w:szCs w:val="28"/>
        </w:rPr>
        <w:t>3</w:t>
      </w:r>
      <w:r w:rsidRPr="00F60480">
        <w:rPr>
          <w:bCs/>
          <w:szCs w:val="28"/>
        </w:rPr>
        <w:t xml:space="preserve"> год сложилась на уровне </w:t>
      </w:r>
      <w:r w:rsidR="00C56FDE">
        <w:rPr>
          <w:bCs/>
          <w:szCs w:val="28"/>
        </w:rPr>
        <w:t>130</w:t>
      </w:r>
      <w:r w:rsidRPr="00F60480">
        <w:rPr>
          <w:bCs/>
          <w:szCs w:val="28"/>
        </w:rPr>
        <w:t>,</w:t>
      </w:r>
      <w:r w:rsidR="00C56FDE">
        <w:rPr>
          <w:bCs/>
          <w:szCs w:val="28"/>
        </w:rPr>
        <w:t>2</w:t>
      </w:r>
      <w:r w:rsidRPr="00F60480">
        <w:rPr>
          <w:bCs/>
          <w:szCs w:val="28"/>
        </w:rPr>
        <w:t xml:space="preserve"> тыс. человек, по прогнозу среднегодовая численность за 202</w:t>
      </w:r>
      <w:r w:rsidR="00C56FDE">
        <w:rPr>
          <w:bCs/>
          <w:szCs w:val="28"/>
        </w:rPr>
        <w:t>4</w:t>
      </w:r>
      <w:r w:rsidRPr="00F60480">
        <w:rPr>
          <w:bCs/>
          <w:szCs w:val="28"/>
        </w:rPr>
        <w:t xml:space="preserve"> год составит 1</w:t>
      </w:r>
      <w:r w:rsidR="00C56FDE">
        <w:rPr>
          <w:bCs/>
          <w:szCs w:val="28"/>
        </w:rPr>
        <w:t>29</w:t>
      </w:r>
      <w:r w:rsidRPr="00F60480">
        <w:rPr>
          <w:bCs/>
          <w:szCs w:val="28"/>
        </w:rPr>
        <w:t>,</w:t>
      </w:r>
      <w:r w:rsidR="00FD710D" w:rsidRPr="00FD710D">
        <w:rPr>
          <w:bCs/>
          <w:szCs w:val="28"/>
        </w:rPr>
        <w:t>4</w:t>
      </w:r>
      <w:r w:rsidRPr="00F60480">
        <w:rPr>
          <w:bCs/>
          <w:szCs w:val="28"/>
        </w:rPr>
        <w:t xml:space="preserve"> тыс. человек, а к 202</w:t>
      </w:r>
      <w:r w:rsidR="00C56FDE">
        <w:rPr>
          <w:bCs/>
          <w:szCs w:val="28"/>
        </w:rPr>
        <w:t>7</w:t>
      </w:r>
      <w:r w:rsidRPr="00F60480">
        <w:rPr>
          <w:bCs/>
          <w:szCs w:val="28"/>
        </w:rPr>
        <w:t>-му снизится до 12</w:t>
      </w:r>
      <w:r w:rsidR="00C56FDE">
        <w:rPr>
          <w:bCs/>
          <w:szCs w:val="28"/>
        </w:rPr>
        <w:t>6</w:t>
      </w:r>
      <w:r w:rsidRPr="00F60480">
        <w:rPr>
          <w:bCs/>
          <w:szCs w:val="28"/>
        </w:rPr>
        <w:t>,</w:t>
      </w:r>
      <w:r w:rsidR="00C56FDE">
        <w:rPr>
          <w:bCs/>
          <w:szCs w:val="28"/>
        </w:rPr>
        <w:t>5</w:t>
      </w:r>
      <w:r w:rsidRPr="00F60480">
        <w:rPr>
          <w:bCs/>
          <w:szCs w:val="28"/>
        </w:rPr>
        <w:t xml:space="preserve"> тыс. человек (рис. 1).</w:t>
      </w:r>
    </w:p>
    <w:p w:rsidR="00176A98" w:rsidRPr="00F60480" w:rsidRDefault="00176A98" w:rsidP="00176A98">
      <w:pPr>
        <w:pStyle w:val="ac"/>
        <w:ind w:firstLine="708"/>
        <w:jc w:val="both"/>
        <w:rPr>
          <w:bCs/>
          <w:szCs w:val="28"/>
        </w:rPr>
      </w:pPr>
    </w:p>
    <w:p w:rsidR="00176A98" w:rsidRPr="00F60480" w:rsidRDefault="00176A98" w:rsidP="00176A98">
      <w:pPr>
        <w:pStyle w:val="ac"/>
        <w:jc w:val="center"/>
        <w:rPr>
          <w:bCs/>
          <w:szCs w:val="28"/>
        </w:rPr>
      </w:pPr>
      <w:r w:rsidRPr="00F60480">
        <w:rPr>
          <w:bCs/>
          <w:sz w:val="24"/>
          <w:szCs w:val="28"/>
        </w:rPr>
        <w:t>Рис. 1. Среднегодовая численность постоянного населения (тыс. человек)</w:t>
      </w:r>
    </w:p>
    <w:p w:rsidR="00176A98" w:rsidRPr="00F60480" w:rsidRDefault="00C56FDE" w:rsidP="00176A98">
      <w:pPr>
        <w:pStyle w:val="ac"/>
        <w:jc w:val="center"/>
        <w:rPr>
          <w:b/>
          <w:bCs/>
          <w:szCs w:val="28"/>
          <w:highlight w:val="yellow"/>
        </w:rPr>
      </w:pPr>
      <w:r>
        <w:rPr>
          <w:noProof/>
        </w:rPr>
        <w:drawing>
          <wp:inline distT="0" distB="0" distL="0" distR="0" wp14:anchorId="47CE7B72" wp14:editId="5230AFCA">
            <wp:extent cx="6001071" cy="3396343"/>
            <wp:effectExtent l="0" t="0" r="0" b="13970"/>
            <wp:docPr id="4" name="Диаграмма 4">
              <a:extLst xmlns:a="http://schemas.openxmlformats.org/drawingml/2006/main">
                <a:ext uri="{FF2B5EF4-FFF2-40B4-BE49-F238E27FC236}">
                  <a16:creationId xmlns:xdr="http://schemas.openxmlformats.org/drawingml/2006/spreadsheetDrawing" xmlns="" xmlns:a16="http://schemas.microsoft.com/office/drawing/2014/main" xmlns:lc="http://schemas.openxmlformats.org/drawingml/2006/lockedCanvas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noProof/>
        </w:rPr>
        <w:t xml:space="preserve"> </w:t>
      </w:r>
    </w:p>
    <w:p w:rsidR="00176A98" w:rsidRPr="00F60480" w:rsidRDefault="00176A98" w:rsidP="00176A98">
      <w:pPr>
        <w:pStyle w:val="ac"/>
        <w:ind w:firstLine="709"/>
        <w:jc w:val="both"/>
        <w:rPr>
          <w:bCs/>
          <w:szCs w:val="28"/>
        </w:rPr>
      </w:pPr>
    </w:p>
    <w:p w:rsidR="00176A98" w:rsidRPr="00F60480" w:rsidRDefault="00176A98" w:rsidP="00176A98">
      <w:pPr>
        <w:pStyle w:val="ac"/>
        <w:ind w:firstLine="709"/>
        <w:jc w:val="both"/>
        <w:rPr>
          <w:b/>
          <w:bCs/>
          <w:szCs w:val="28"/>
        </w:rPr>
      </w:pPr>
      <w:r w:rsidRPr="00F60480">
        <w:rPr>
          <w:bCs/>
          <w:szCs w:val="28"/>
        </w:rPr>
        <w:t>Коэффициент рождаемости фактически за 20</w:t>
      </w:r>
      <w:r w:rsidR="00F51CF2" w:rsidRPr="00F60480">
        <w:rPr>
          <w:bCs/>
          <w:szCs w:val="28"/>
        </w:rPr>
        <w:t>2</w:t>
      </w:r>
      <w:r w:rsidR="00C56FDE">
        <w:rPr>
          <w:bCs/>
          <w:szCs w:val="28"/>
        </w:rPr>
        <w:t>3</w:t>
      </w:r>
      <w:r w:rsidRPr="00F60480">
        <w:rPr>
          <w:bCs/>
          <w:szCs w:val="28"/>
        </w:rPr>
        <w:t xml:space="preserve"> год составил </w:t>
      </w:r>
      <w:r w:rsidR="00D60417">
        <w:rPr>
          <w:bCs/>
          <w:szCs w:val="28"/>
        </w:rPr>
        <w:t>6,</w:t>
      </w:r>
      <w:r w:rsidR="00C56FDE">
        <w:rPr>
          <w:bCs/>
          <w:szCs w:val="28"/>
        </w:rPr>
        <w:t>57</w:t>
      </w:r>
      <w:r w:rsidRPr="00F60480">
        <w:rPr>
          <w:bCs/>
          <w:szCs w:val="28"/>
        </w:rPr>
        <w:t xml:space="preserve"> (число родившихся на 1000 населения), что </w:t>
      </w:r>
      <w:r w:rsidR="00C56FDE">
        <w:rPr>
          <w:bCs/>
          <w:szCs w:val="28"/>
        </w:rPr>
        <w:t>выше</w:t>
      </w:r>
      <w:r w:rsidRPr="00F60480">
        <w:rPr>
          <w:bCs/>
          <w:szCs w:val="28"/>
        </w:rPr>
        <w:t xml:space="preserve"> уровня 20</w:t>
      </w:r>
      <w:r w:rsidR="00FD710D" w:rsidRPr="00FD710D">
        <w:rPr>
          <w:bCs/>
          <w:szCs w:val="28"/>
        </w:rPr>
        <w:t>2</w:t>
      </w:r>
      <w:r w:rsidR="00C56FDE">
        <w:rPr>
          <w:bCs/>
          <w:szCs w:val="28"/>
        </w:rPr>
        <w:t>2</w:t>
      </w:r>
      <w:r w:rsidRPr="00F60480">
        <w:rPr>
          <w:bCs/>
          <w:szCs w:val="28"/>
        </w:rPr>
        <w:t xml:space="preserve"> года на </w:t>
      </w:r>
      <w:r w:rsidR="00C56FDE">
        <w:rPr>
          <w:bCs/>
          <w:szCs w:val="28"/>
        </w:rPr>
        <w:t>5</w:t>
      </w:r>
      <w:r w:rsidR="00D60417">
        <w:rPr>
          <w:bCs/>
          <w:szCs w:val="28"/>
        </w:rPr>
        <w:t>,</w:t>
      </w:r>
      <w:r w:rsidR="00C56FDE">
        <w:rPr>
          <w:bCs/>
          <w:szCs w:val="28"/>
        </w:rPr>
        <w:t>9</w:t>
      </w:r>
      <w:r w:rsidRPr="00F60480">
        <w:rPr>
          <w:bCs/>
          <w:szCs w:val="28"/>
        </w:rPr>
        <w:t xml:space="preserve">%. Уровень смертности в тот же период составил </w:t>
      </w:r>
      <w:r w:rsidR="00C56FDE">
        <w:rPr>
          <w:bCs/>
          <w:szCs w:val="28"/>
        </w:rPr>
        <w:t>17</w:t>
      </w:r>
      <w:r w:rsidR="00D60417">
        <w:rPr>
          <w:bCs/>
          <w:szCs w:val="28"/>
        </w:rPr>
        <w:t>,</w:t>
      </w:r>
      <w:r w:rsidR="00C56FDE">
        <w:rPr>
          <w:bCs/>
          <w:szCs w:val="28"/>
        </w:rPr>
        <w:t>14</w:t>
      </w:r>
      <w:r w:rsidRPr="00F60480">
        <w:rPr>
          <w:bCs/>
          <w:szCs w:val="28"/>
        </w:rPr>
        <w:t xml:space="preserve"> (</w:t>
      </w:r>
      <w:r w:rsidR="00C56FDE">
        <w:rPr>
          <w:bCs/>
          <w:szCs w:val="28"/>
        </w:rPr>
        <w:t>99</w:t>
      </w:r>
      <w:r w:rsidR="00D60417">
        <w:rPr>
          <w:bCs/>
          <w:szCs w:val="28"/>
        </w:rPr>
        <w:t>,</w:t>
      </w:r>
      <w:r w:rsidR="00C56FDE">
        <w:rPr>
          <w:bCs/>
          <w:szCs w:val="28"/>
        </w:rPr>
        <w:t>0</w:t>
      </w:r>
      <w:r w:rsidRPr="00F60480">
        <w:rPr>
          <w:bCs/>
          <w:szCs w:val="28"/>
        </w:rPr>
        <w:t>% по сравнению с уровнем 20</w:t>
      </w:r>
      <w:r w:rsidR="008A3432">
        <w:rPr>
          <w:bCs/>
          <w:szCs w:val="28"/>
        </w:rPr>
        <w:t>2</w:t>
      </w:r>
      <w:r w:rsidR="00C56FDE">
        <w:rPr>
          <w:bCs/>
          <w:szCs w:val="28"/>
        </w:rPr>
        <w:t>2</w:t>
      </w:r>
      <w:r w:rsidRPr="00F60480">
        <w:rPr>
          <w:bCs/>
          <w:szCs w:val="28"/>
        </w:rPr>
        <w:t xml:space="preserve"> года).</w:t>
      </w:r>
      <w:r w:rsidRPr="00F60480">
        <w:rPr>
          <w:i/>
          <w:szCs w:val="28"/>
        </w:rPr>
        <w:tab/>
        <w:t xml:space="preserve"> </w:t>
      </w:r>
      <w:r w:rsidR="00F51CF2" w:rsidRPr="00D60417">
        <w:rPr>
          <w:szCs w:val="28"/>
        </w:rPr>
        <w:t>В 202</w:t>
      </w:r>
      <w:r w:rsidR="00C56FDE">
        <w:rPr>
          <w:szCs w:val="28"/>
        </w:rPr>
        <w:t>5</w:t>
      </w:r>
      <w:r w:rsidR="00F51CF2" w:rsidRPr="00D60417">
        <w:rPr>
          <w:szCs w:val="28"/>
        </w:rPr>
        <w:t>-202</w:t>
      </w:r>
      <w:r w:rsidR="00C56FDE">
        <w:rPr>
          <w:szCs w:val="28"/>
        </w:rPr>
        <w:t>7</w:t>
      </w:r>
      <w:r w:rsidR="00F51CF2" w:rsidRPr="00D60417">
        <w:rPr>
          <w:szCs w:val="28"/>
        </w:rPr>
        <w:t xml:space="preserve"> года прогнозируется </w:t>
      </w:r>
      <w:r w:rsidRPr="00D60417">
        <w:rPr>
          <w:szCs w:val="28"/>
        </w:rPr>
        <w:t>ежегодн</w:t>
      </w:r>
      <w:r w:rsidR="00C56FDE">
        <w:rPr>
          <w:szCs w:val="28"/>
        </w:rPr>
        <w:t>ый</w:t>
      </w:r>
      <w:r w:rsidRPr="00F60480">
        <w:rPr>
          <w:szCs w:val="28"/>
        </w:rPr>
        <w:t xml:space="preserve"> </w:t>
      </w:r>
      <w:r w:rsidR="00C56FDE">
        <w:rPr>
          <w:szCs w:val="28"/>
        </w:rPr>
        <w:t>незначительный рост</w:t>
      </w:r>
      <w:r w:rsidRPr="00F60480">
        <w:rPr>
          <w:szCs w:val="28"/>
        </w:rPr>
        <w:t xml:space="preserve"> рождаемости, а также незначительн</w:t>
      </w:r>
      <w:r w:rsidR="00C56FDE">
        <w:rPr>
          <w:szCs w:val="28"/>
        </w:rPr>
        <w:t>ое</w:t>
      </w:r>
      <w:r w:rsidRPr="00F60480">
        <w:rPr>
          <w:szCs w:val="28"/>
        </w:rPr>
        <w:t xml:space="preserve"> снижени</w:t>
      </w:r>
      <w:r w:rsidR="00F51CF2" w:rsidRPr="00F60480">
        <w:rPr>
          <w:szCs w:val="28"/>
        </w:rPr>
        <w:t>е</w:t>
      </w:r>
      <w:r w:rsidRPr="00F60480">
        <w:rPr>
          <w:szCs w:val="28"/>
        </w:rPr>
        <w:t xml:space="preserve"> смертности, коэффициент естественного прироста населения </w:t>
      </w:r>
      <w:r w:rsidR="008A3432">
        <w:rPr>
          <w:szCs w:val="28"/>
        </w:rPr>
        <w:t>в 202</w:t>
      </w:r>
      <w:r w:rsidR="00C56FDE">
        <w:rPr>
          <w:szCs w:val="28"/>
        </w:rPr>
        <w:t>7</w:t>
      </w:r>
      <w:r w:rsidR="00F51CF2" w:rsidRPr="00F60480">
        <w:rPr>
          <w:szCs w:val="28"/>
        </w:rPr>
        <w:t xml:space="preserve"> году составит </w:t>
      </w:r>
      <w:r w:rsidRPr="00F60480">
        <w:rPr>
          <w:szCs w:val="28"/>
        </w:rPr>
        <w:t>до -</w:t>
      </w:r>
      <w:r w:rsidR="00C56FDE">
        <w:rPr>
          <w:szCs w:val="28"/>
        </w:rPr>
        <w:t>9</w:t>
      </w:r>
      <w:r w:rsidR="00D60417">
        <w:rPr>
          <w:szCs w:val="28"/>
        </w:rPr>
        <w:t>,</w:t>
      </w:r>
      <w:r w:rsidR="00C56FDE">
        <w:rPr>
          <w:szCs w:val="28"/>
        </w:rPr>
        <w:t>3</w:t>
      </w:r>
      <w:r w:rsidRPr="00F60480">
        <w:rPr>
          <w:szCs w:val="28"/>
        </w:rPr>
        <w:t xml:space="preserve"> человек на 1000 населения (рис. 2).</w:t>
      </w:r>
    </w:p>
    <w:p w:rsidR="00176A98" w:rsidRPr="00F60480" w:rsidRDefault="00176A98" w:rsidP="00176A98">
      <w:pPr>
        <w:pStyle w:val="ac"/>
        <w:ind w:firstLine="709"/>
        <w:jc w:val="both"/>
        <w:rPr>
          <w:b/>
          <w:bCs/>
          <w:szCs w:val="28"/>
          <w:highlight w:val="yellow"/>
        </w:rPr>
      </w:pPr>
    </w:p>
    <w:p w:rsidR="00176A98" w:rsidRPr="00F60480" w:rsidRDefault="00176A98" w:rsidP="00176A98">
      <w:pPr>
        <w:pStyle w:val="ac"/>
        <w:ind w:firstLine="709"/>
        <w:jc w:val="both"/>
        <w:rPr>
          <w:bCs/>
          <w:sz w:val="24"/>
          <w:szCs w:val="28"/>
        </w:rPr>
      </w:pPr>
      <w:r w:rsidRPr="00F60480">
        <w:rPr>
          <w:bCs/>
          <w:sz w:val="24"/>
          <w:szCs w:val="28"/>
        </w:rPr>
        <w:t>Рис. 2. Коэффициенты рождаемости и смертности (человек на 1000 населения)</w:t>
      </w:r>
    </w:p>
    <w:p w:rsidR="00176A98" w:rsidRPr="00F60480" w:rsidRDefault="00C56FDE" w:rsidP="00176A98">
      <w:pPr>
        <w:pStyle w:val="ac"/>
        <w:jc w:val="center"/>
        <w:rPr>
          <w:b/>
          <w:bCs/>
          <w:szCs w:val="28"/>
          <w:highlight w:val="yellow"/>
        </w:rPr>
      </w:pPr>
      <w:r>
        <w:rPr>
          <w:noProof/>
        </w:rPr>
        <w:drawing>
          <wp:inline distT="0" distB="0" distL="0" distR="0" wp14:anchorId="65B55E11" wp14:editId="055BE5ED">
            <wp:extent cx="6120130" cy="3202305"/>
            <wp:effectExtent l="0" t="0" r="13970" b="17145"/>
            <wp:docPr id="1" name="Диаграмма 1">
              <a:extLst xmlns:a="http://schemas.openxmlformats.org/drawingml/2006/main">
                <a:ext uri="{FF2B5EF4-FFF2-40B4-BE49-F238E27FC236}">
                  <a16:creationId xmlns:xdr="http://schemas.openxmlformats.org/drawingml/2006/spreadsheetDrawing" xmlns="" xmlns:a16="http://schemas.microsoft.com/office/drawing/2014/main" xmlns:lc="http://schemas.openxmlformats.org/drawingml/2006/lockedCanvas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76A98" w:rsidRPr="00F60480" w:rsidRDefault="00176A98" w:rsidP="00176A98">
      <w:pPr>
        <w:pStyle w:val="ac"/>
        <w:ind w:firstLine="709"/>
        <w:jc w:val="both"/>
        <w:rPr>
          <w:b/>
          <w:bCs/>
          <w:szCs w:val="28"/>
          <w:highlight w:val="yellow"/>
        </w:rPr>
      </w:pPr>
    </w:p>
    <w:p w:rsidR="00176A98" w:rsidRDefault="008C3A07" w:rsidP="00176A98">
      <w:pPr>
        <w:pStyle w:val="ac"/>
        <w:ind w:firstLine="709"/>
        <w:jc w:val="both"/>
        <w:rPr>
          <w:bCs/>
          <w:szCs w:val="28"/>
        </w:rPr>
      </w:pPr>
      <w:r w:rsidRPr="00252DE7">
        <w:rPr>
          <w:b/>
          <w:bCs/>
          <w:szCs w:val="28"/>
        </w:rPr>
        <w:t>Объем отгруженных товаров собственного производства выполненных работ и услуг собственными силами</w:t>
      </w:r>
      <w:r w:rsidRPr="00252DE7">
        <w:rPr>
          <w:bCs/>
          <w:szCs w:val="28"/>
        </w:rPr>
        <w:t xml:space="preserve"> по кругу крупных и средних организаций-производителей по оценке 2023 года был запланирован на уровне 176221,9 млн. рублей, а фактически он составил 190073,1 млн. рублей, что на 7,8% выше прогнозируемого показателя. Статистические данные за январь-май 2024 года показывают снижение уровня объема отгруженной продукции на 18,8% в сопоставимых ценах, демонстрируя отрицательную динамику. Также это подтверждается оперативной информацией предприятий муниципального образования. По оценке, в 2024 году индекс объема промышленного производства составит 105,5%. Рост производства в 2025 году и последующих годах прогнозируется на уровне около 3,9-4,9%</w:t>
      </w:r>
      <w:r w:rsidRPr="005823E1">
        <w:rPr>
          <w:bCs/>
          <w:szCs w:val="28"/>
        </w:rPr>
        <w:t xml:space="preserve"> </w:t>
      </w:r>
      <w:r w:rsidR="00D60417" w:rsidRPr="005823E1">
        <w:rPr>
          <w:bCs/>
          <w:szCs w:val="28"/>
        </w:rPr>
        <w:t xml:space="preserve">(рис. </w:t>
      </w:r>
      <w:r>
        <w:rPr>
          <w:bCs/>
          <w:szCs w:val="28"/>
        </w:rPr>
        <w:t>3</w:t>
      </w:r>
      <w:r w:rsidR="00D60417" w:rsidRPr="005823E1">
        <w:rPr>
          <w:bCs/>
          <w:szCs w:val="28"/>
        </w:rPr>
        <w:t>).</w:t>
      </w:r>
    </w:p>
    <w:p w:rsidR="00D60417" w:rsidRPr="00F60480" w:rsidRDefault="00D60417" w:rsidP="00176A98">
      <w:pPr>
        <w:pStyle w:val="ac"/>
        <w:ind w:firstLine="709"/>
        <w:jc w:val="both"/>
        <w:rPr>
          <w:bCs/>
          <w:szCs w:val="28"/>
        </w:rPr>
      </w:pPr>
    </w:p>
    <w:p w:rsidR="00176A98" w:rsidRPr="00F60480" w:rsidRDefault="00176A98" w:rsidP="00176A98">
      <w:pPr>
        <w:pStyle w:val="ac"/>
        <w:jc w:val="center"/>
        <w:rPr>
          <w:bCs/>
          <w:sz w:val="24"/>
          <w:szCs w:val="28"/>
        </w:rPr>
      </w:pPr>
      <w:r w:rsidRPr="00F60480">
        <w:rPr>
          <w:bCs/>
          <w:sz w:val="24"/>
          <w:szCs w:val="28"/>
        </w:rPr>
        <w:t>Рис. 3. Объем отгруженной продукции (по полному кругу организаций) в действующих ценах, млн. руб.</w:t>
      </w:r>
    </w:p>
    <w:p w:rsidR="00176A98" w:rsidRPr="00F60480" w:rsidRDefault="008C3A07" w:rsidP="00176A98">
      <w:pPr>
        <w:pStyle w:val="ac"/>
        <w:spacing w:line="276" w:lineRule="auto"/>
        <w:jc w:val="center"/>
        <w:rPr>
          <w:b/>
          <w:bCs/>
          <w:szCs w:val="28"/>
        </w:rPr>
      </w:pPr>
      <w:r>
        <w:rPr>
          <w:noProof/>
        </w:rPr>
        <w:drawing>
          <wp:inline distT="0" distB="0" distL="0" distR="0" wp14:anchorId="76ADF834" wp14:editId="6E26B874">
            <wp:extent cx="5976620" cy="2517569"/>
            <wp:effectExtent l="0" t="0" r="5080" b="1651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76A98" w:rsidRPr="00F60480" w:rsidRDefault="00176A98" w:rsidP="00176A98">
      <w:pPr>
        <w:pStyle w:val="ac"/>
        <w:spacing w:line="276" w:lineRule="auto"/>
        <w:ind w:firstLine="709"/>
        <w:jc w:val="both"/>
        <w:rPr>
          <w:b/>
          <w:bCs/>
          <w:szCs w:val="28"/>
          <w:highlight w:val="yellow"/>
        </w:rPr>
      </w:pPr>
    </w:p>
    <w:p w:rsidR="00176A98" w:rsidRPr="00F60480" w:rsidRDefault="008C3A07" w:rsidP="00176A98">
      <w:pPr>
        <w:pStyle w:val="ac"/>
        <w:spacing w:line="276" w:lineRule="auto"/>
        <w:ind w:firstLine="709"/>
        <w:jc w:val="both"/>
        <w:rPr>
          <w:bCs/>
          <w:szCs w:val="28"/>
        </w:rPr>
      </w:pPr>
      <w:r w:rsidRPr="00252DE7">
        <w:rPr>
          <w:b/>
          <w:bCs/>
          <w:szCs w:val="28"/>
        </w:rPr>
        <w:t xml:space="preserve">В сельскохозяйственной отрасли </w:t>
      </w:r>
      <w:r w:rsidRPr="00252DE7">
        <w:rPr>
          <w:bCs/>
          <w:szCs w:val="28"/>
        </w:rPr>
        <w:t>ситуация находится под влиянием положительно влияющих факторов. В 2023 году рост составил 2,2%. В текущем году индекс производства продукции сельского хозяйства составит по оценке около 105%. В прогнозном периоде может возобладать влияние как положительных, так и отрицательных факторов, поэтому рост продукции сельского хозяйства прогнозируется на уровне 105,2-106,8%</w:t>
      </w:r>
      <w:r w:rsidR="00D60417" w:rsidRPr="005823E1">
        <w:rPr>
          <w:bCs/>
          <w:szCs w:val="28"/>
        </w:rPr>
        <w:t xml:space="preserve"> (рис.</w:t>
      </w:r>
      <w:r>
        <w:rPr>
          <w:bCs/>
          <w:szCs w:val="28"/>
        </w:rPr>
        <w:t>4</w:t>
      </w:r>
      <w:r w:rsidR="00D60417" w:rsidRPr="005823E1">
        <w:rPr>
          <w:bCs/>
          <w:szCs w:val="28"/>
        </w:rPr>
        <w:t>).</w:t>
      </w:r>
      <w:r w:rsidR="00176A98" w:rsidRPr="00F60480">
        <w:rPr>
          <w:bCs/>
          <w:szCs w:val="28"/>
        </w:rPr>
        <w:t xml:space="preserve"> </w:t>
      </w:r>
    </w:p>
    <w:p w:rsidR="00176A98" w:rsidRPr="00F60480" w:rsidRDefault="00176A98" w:rsidP="00176A98">
      <w:pPr>
        <w:pStyle w:val="ac"/>
        <w:ind w:firstLine="709"/>
        <w:jc w:val="both"/>
        <w:rPr>
          <w:bCs/>
          <w:szCs w:val="28"/>
        </w:rPr>
      </w:pPr>
    </w:p>
    <w:p w:rsidR="00176A98" w:rsidRPr="00F60480" w:rsidRDefault="00176A98" w:rsidP="00176A98">
      <w:pPr>
        <w:pStyle w:val="ac"/>
        <w:jc w:val="center"/>
        <w:rPr>
          <w:bCs/>
          <w:sz w:val="24"/>
          <w:szCs w:val="28"/>
        </w:rPr>
      </w:pPr>
      <w:r w:rsidRPr="00F60480">
        <w:rPr>
          <w:bCs/>
          <w:sz w:val="24"/>
          <w:szCs w:val="28"/>
        </w:rPr>
        <w:t>Рис. 4. Объем производства продукции сельского хозяйства в хозяйствах всех категорий, млн. руб.</w:t>
      </w:r>
    </w:p>
    <w:p w:rsidR="00176A98" w:rsidRPr="00F60480" w:rsidRDefault="008C3A07" w:rsidP="008A3432">
      <w:pPr>
        <w:pStyle w:val="ac"/>
        <w:jc w:val="center"/>
        <w:rPr>
          <w:bCs/>
          <w:szCs w:val="28"/>
        </w:rPr>
      </w:pPr>
      <w:r w:rsidRPr="00252DE7">
        <w:rPr>
          <w:noProof/>
        </w:rPr>
        <w:drawing>
          <wp:inline distT="0" distB="0" distL="0" distR="0" wp14:anchorId="601C2E1C" wp14:editId="3421D33F">
            <wp:extent cx="5806440" cy="2268187"/>
            <wp:effectExtent l="0" t="0" r="3810" b="1841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76A98" w:rsidRPr="00F60480" w:rsidRDefault="00176A98" w:rsidP="00176A98">
      <w:pPr>
        <w:pStyle w:val="ac"/>
        <w:jc w:val="both"/>
        <w:rPr>
          <w:b/>
        </w:rPr>
      </w:pPr>
      <w:r w:rsidRPr="00F60480">
        <w:rPr>
          <w:b/>
        </w:rPr>
        <w:tab/>
      </w:r>
    </w:p>
    <w:p w:rsidR="00176A98" w:rsidRDefault="00D60417" w:rsidP="00176A98">
      <w:pPr>
        <w:pStyle w:val="ac"/>
        <w:ind w:firstLine="709"/>
        <w:jc w:val="both"/>
        <w:rPr>
          <w:bCs/>
          <w:szCs w:val="28"/>
        </w:rPr>
      </w:pPr>
      <w:r w:rsidRPr="005823E1">
        <w:rPr>
          <w:b/>
          <w:bCs/>
          <w:szCs w:val="28"/>
        </w:rPr>
        <w:t>Объем инвестиций в основной капитал.</w:t>
      </w:r>
      <w:r w:rsidRPr="005823E1">
        <w:rPr>
          <w:bCs/>
          <w:szCs w:val="28"/>
        </w:rPr>
        <w:t xml:space="preserve"> </w:t>
      </w:r>
      <w:r w:rsidR="008C3A07" w:rsidRPr="00252DE7">
        <w:rPr>
          <w:bCs/>
          <w:szCs w:val="28"/>
        </w:rPr>
        <w:t>В 2023 году объем инвестиций в основной капитал составил 89,4% от значения предыдущего года.  Это связано с завершением в 2022 реализации крупных инвестиционных проектов предприятиями Новомосковска и началом нового инвестиционного цикла. В 2024-м году прогнозируется рост значения показателя на уровне 11,1%. В 2025-27 годах планируется рост инвестиций на уровне 8-10%, а также сохранение значительной доли бюджетных инвестиций в связи с реализацией национальных проектов</w:t>
      </w:r>
      <w:r w:rsidRPr="005823E1">
        <w:rPr>
          <w:bCs/>
          <w:szCs w:val="28"/>
        </w:rPr>
        <w:t xml:space="preserve"> (рис. </w:t>
      </w:r>
      <w:r w:rsidR="008C3A07">
        <w:rPr>
          <w:bCs/>
          <w:szCs w:val="28"/>
        </w:rPr>
        <w:t>5</w:t>
      </w:r>
      <w:r w:rsidRPr="005823E1">
        <w:rPr>
          <w:bCs/>
          <w:szCs w:val="28"/>
        </w:rPr>
        <w:t>).</w:t>
      </w:r>
    </w:p>
    <w:p w:rsidR="008C3A07" w:rsidRPr="00F60480" w:rsidRDefault="008C3A07" w:rsidP="00176A98">
      <w:pPr>
        <w:pStyle w:val="ac"/>
        <w:ind w:firstLine="709"/>
        <w:jc w:val="both"/>
        <w:rPr>
          <w:bCs/>
          <w:szCs w:val="28"/>
        </w:rPr>
      </w:pPr>
    </w:p>
    <w:p w:rsidR="00D60417" w:rsidRPr="005823E1" w:rsidRDefault="00D60417" w:rsidP="00D60417">
      <w:pPr>
        <w:pStyle w:val="ac"/>
        <w:jc w:val="center"/>
        <w:rPr>
          <w:bCs/>
          <w:sz w:val="24"/>
          <w:szCs w:val="28"/>
        </w:rPr>
      </w:pPr>
      <w:r w:rsidRPr="005823E1">
        <w:rPr>
          <w:bCs/>
          <w:sz w:val="24"/>
          <w:szCs w:val="28"/>
        </w:rPr>
        <w:t xml:space="preserve">Рис. </w:t>
      </w:r>
      <w:r w:rsidR="008C3A07">
        <w:rPr>
          <w:bCs/>
          <w:sz w:val="24"/>
          <w:szCs w:val="28"/>
        </w:rPr>
        <w:t>5</w:t>
      </w:r>
      <w:r w:rsidRPr="005823E1">
        <w:rPr>
          <w:bCs/>
          <w:sz w:val="24"/>
          <w:szCs w:val="28"/>
        </w:rPr>
        <w:t xml:space="preserve">. Объем инвестиций в основной капитал за счет всех источников финансирования, </w:t>
      </w:r>
    </w:p>
    <w:p w:rsidR="00D60417" w:rsidRPr="005823E1" w:rsidRDefault="00D60417" w:rsidP="00D60417">
      <w:pPr>
        <w:pStyle w:val="ac"/>
        <w:jc w:val="center"/>
        <w:rPr>
          <w:bCs/>
          <w:sz w:val="24"/>
          <w:szCs w:val="28"/>
        </w:rPr>
      </w:pPr>
      <w:r w:rsidRPr="005823E1">
        <w:rPr>
          <w:bCs/>
          <w:sz w:val="24"/>
          <w:szCs w:val="28"/>
        </w:rPr>
        <w:t>млн. руб.</w:t>
      </w:r>
    </w:p>
    <w:p w:rsidR="00D60417" w:rsidRPr="005823E1" w:rsidRDefault="008C3A07" w:rsidP="00D60417">
      <w:pPr>
        <w:pStyle w:val="ac"/>
        <w:jc w:val="center"/>
        <w:rPr>
          <w:bCs/>
          <w:szCs w:val="28"/>
        </w:rPr>
      </w:pPr>
      <w:r w:rsidRPr="00252DE7">
        <w:rPr>
          <w:noProof/>
        </w:rPr>
        <w:drawing>
          <wp:inline distT="0" distB="0" distL="0" distR="0" wp14:anchorId="782960F6" wp14:editId="6679C5F6">
            <wp:extent cx="5830570" cy="2137559"/>
            <wp:effectExtent l="0" t="0" r="17780" b="1524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76A98" w:rsidRPr="00F60480" w:rsidRDefault="008C3A07" w:rsidP="00663B42">
      <w:pPr>
        <w:pStyle w:val="ac"/>
        <w:ind w:firstLine="709"/>
        <w:jc w:val="both"/>
        <w:rPr>
          <w:bCs/>
          <w:szCs w:val="28"/>
          <w:highlight w:val="yellow"/>
        </w:rPr>
      </w:pPr>
      <w:r w:rsidRPr="00252DE7">
        <w:rPr>
          <w:b/>
          <w:bCs/>
          <w:szCs w:val="28"/>
        </w:rPr>
        <w:lastRenderedPageBreak/>
        <w:t>Финансовый результат</w:t>
      </w:r>
      <w:r w:rsidRPr="00252DE7">
        <w:rPr>
          <w:bCs/>
          <w:szCs w:val="28"/>
        </w:rPr>
        <w:t xml:space="preserve"> по всем видам деятельности в 2023 году снизился по сравнению с 2022 годом на 16% до уровня 77,2 млрд. рублей. Это вызвано с затруднением ведения экспортной деятельности и снижением объема производства промышленной продукции. Ожидается, что в текущем году продолжится влияние отрицательных факторов, и восстановление начнется только в следующем году. Также важным фактором является необходимость переориентирования логистических цепочек и механизмов движения капитала в условиях санкций, введенных недружественными странами против экономики Российской Федерации</w:t>
      </w:r>
    </w:p>
    <w:p w:rsidR="00A120FE" w:rsidRPr="00F60480" w:rsidRDefault="00A120FE" w:rsidP="00176A98">
      <w:pPr>
        <w:pStyle w:val="ac"/>
        <w:jc w:val="both"/>
        <w:rPr>
          <w:bCs/>
          <w:szCs w:val="28"/>
          <w:highlight w:val="yellow"/>
        </w:rPr>
      </w:pPr>
    </w:p>
    <w:p w:rsidR="00D60417" w:rsidRPr="005823E1" w:rsidRDefault="00D60417" w:rsidP="00D60417">
      <w:pPr>
        <w:pStyle w:val="ac"/>
        <w:jc w:val="center"/>
        <w:rPr>
          <w:bCs/>
          <w:sz w:val="24"/>
          <w:szCs w:val="28"/>
        </w:rPr>
      </w:pPr>
      <w:r w:rsidRPr="005823E1">
        <w:rPr>
          <w:bCs/>
          <w:sz w:val="24"/>
          <w:szCs w:val="28"/>
        </w:rPr>
        <w:t xml:space="preserve">Рис. </w:t>
      </w:r>
      <w:r w:rsidR="008C3A07">
        <w:rPr>
          <w:bCs/>
          <w:sz w:val="24"/>
          <w:szCs w:val="28"/>
        </w:rPr>
        <w:t>6</w:t>
      </w:r>
      <w:r w:rsidRPr="005823E1">
        <w:rPr>
          <w:bCs/>
          <w:sz w:val="24"/>
          <w:szCs w:val="28"/>
        </w:rPr>
        <w:t>. Финансовый результат по всем видам деятельности, тыс. руб.</w:t>
      </w:r>
    </w:p>
    <w:p w:rsidR="00D60417" w:rsidRPr="005823E1" w:rsidRDefault="008C3A07" w:rsidP="00D60417">
      <w:pPr>
        <w:pStyle w:val="ac"/>
        <w:jc w:val="center"/>
        <w:rPr>
          <w:bCs/>
          <w:szCs w:val="28"/>
        </w:rPr>
      </w:pPr>
      <w:r w:rsidRPr="00252DE7">
        <w:rPr>
          <w:noProof/>
        </w:rPr>
        <w:drawing>
          <wp:inline distT="0" distB="0" distL="0" distR="0" wp14:anchorId="1D6AF003" wp14:editId="2A865EE2">
            <wp:extent cx="6120130" cy="2731325"/>
            <wp:effectExtent l="0" t="0" r="13970" b="1206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60417" w:rsidRDefault="00D60417" w:rsidP="00D60417">
      <w:pPr>
        <w:pStyle w:val="ac"/>
        <w:ind w:firstLine="709"/>
        <w:jc w:val="both"/>
        <w:rPr>
          <w:b/>
          <w:bCs/>
          <w:szCs w:val="28"/>
        </w:rPr>
      </w:pPr>
    </w:p>
    <w:p w:rsidR="008C3A07" w:rsidRPr="008C3A07" w:rsidRDefault="00D60417" w:rsidP="008C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3A07">
        <w:rPr>
          <w:rFonts w:ascii="Times New Roman" w:eastAsia="Times New Roman" w:hAnsi="Times New Roman" w:cs="Times New Roman"/>
          <w:b/>
          <w:bCs/>
          <w:sz w:val="28"/>
          <w:szCs w:val="28"/>
        </w:rPr>
        <w:t>Труд и занятость.</w:t>
      </w:r>
      <w:r w:rsidRPr="00D60417">
        <w:rPr>
          <w:bCs/>
          <w:szCs w:val="28"/>
        </w:rPr>
        <w:t xml:space="preserve"> </w:t>
      </w:r>
      <w:r w:rsidR="008C3A07" w:rsidRPr="008C3A07">
        <w:rPr>
          <w:rFonts w:ascii="Times New Roman" w:eastAsia="Times New Roman" w:hAnsi="Times New Roman" w:cs="Times New Roman"/>
          <w:bCs/>
          <w:sz w:val="28"/>
          <w:szCs w:val="28"/>
        </w:rPr>
        <w:t>Фактическая среднесписочная численность работников крупных и средних организаций в 2023 году составила 29,4 тыс. человек, в 2024 году по прогнозу она составит 29,3 тыс. человек. Сокращение численности персонала обуславливается сокращением численности населения муниципального образования вследствие отрицательного естественного прироста и отрицательной или около нулевой миграции. Сильное влияние на сокращение численности персонала оказывает также то, что большим количеством работников были заключены контракты с Министерством обороны Российской Федерации. Крупные же предприятия прогнозируют увеличение численности персонала после реализации инвестиционных проектов. В 2025-27 годах прогнозируется дальнейшее снижение численности (до уровня 28,7 тыс. человек в 2027 году).</w:t>
      </w:r>
    </w:p>
    <w:p w:rsidR="008C3A07" w:rsidRPr="008C3A07" w:rsidRDefault="008C3A07" w:rsidP="008C3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3A0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разработке прогнозных показателей по труду исходили из того, что политика в области заработной платы должна быть сориентирована на увеличение реальной заработной платы, восстановление ее роли, как основного источника доходов и важнейшего стимула деловой активности работников. При осуществлении прогнозных расчетов фонда заработной платы, наряду с динамикой макроэкономических показателей учитывалась динамика </w:t>
      </w:r>
      <w:r w:rsidRPr="008C3A0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численности и заработной платы на предприятиях и в организациях, расположенных на территории города. </w:t>
      </w:r>
    </w:p>
    <w:p w:rsidR="00D60417" w:rsidRPr="005823E1" w:rsidRDefault="008C3A07" w:rsidP="008C3A07">
      <w:pPr>
        <w:pStyle w:val="ac"/>
        <w:ind w:firstLine="709"/>
        <w:jc w:val="both"/>
        <w:rPr>
          <w:bCs/>
          <w:szCs w:val="28"/>
        </w:rPr>
      </w:pPr>
      <w:r w:rsidRPr="00252DE7">
        <w:rPr>
          <w:bCs/>
          <w:szCs w:val="28"/>
        </w:rPr>
        <w:t xml:space="preserve">В 2023 году увеличение уровня среднемесячной заработной платы составило 19,4%, при уровне инфляции в 5,7% (рис. </w:t>
      </w:r>
      <w:r>
        <w:rPr>
          <w:bCs/>
          <w:szCs w:val="28"/>
        </w:rPr>
        <w:t>7</w:t>
      </w:r>
      <w:r w:rsidRPr="00252DE7">
        <w:rPr>
          <w:bCs/>
          <w:szCs w:val="28"/>
        </w:rPr>
        <w:t>). Прогнозируемое повышение заработной платы в 2024 году составит 18% до уровня 77498,7 рублей, что, с лихвой компенсирует инфляцию в 7,5%.  Рост зарплат связан прежде всего с усиливающимся дефицитом рабочей силы. В 2025-27 годах темпы роста заработной платы ожидаются выше уровня инфляции</w:t>
      </w:r>
      <w:r w:rsidR="00D60417" w:rsidRPr="005823E1">
        <w:rPr>
          <w:bCs/>
          <w:szCs w:val="28"/>
        </w:rPr>
        <w:t xml:space="preserve"> (рис. </w:t>
      </w:r>
      <w:bookmarkStart w:id="0" w:name="_GoBack"/>
      <w:r w:rsidR="00B06A81">
        <w:rPr>
          <w:bCs/>
          <w:szCs w:val="28"/>
        </w:rPr>
        <w:t>7</w:t>
      </w:r>
      <w:bookmarkEnd w:id="0"/>
      <w:r w:rsidR="00D60417" w:rsidRPr="005823E1">
        <w:rPr>
          <w:bCs/>
          <w:szCs w:val="28"/>
        </w:rPr>
        <w:t>).</w:t>
      </w:r>
    </w:p>
    <w:p w:rsidR="00D60417" w:rsidRPr="005823E1" w:rsidRDefault="00D60417" w:rsidP="00D60417">
      <w:pPr>
        <w:pStyle w:val="ac"/>
        <w:ind w:firstLine="709"/>
        <w:jc w:val="both"/>
        <w:rPr>
          <w:bCs/>
          <w:szCs w:val="28"/>
        </w:rPr>
      </w:pPr>
    </w:p>
    <w:p w:rsidR="00D60417" w:rsidRPr="005823E1" w:rsidRDefault="00D60417" w:rsidP="00D60417">
      <w:pPr>
        <w:pStyle w:val="ac"/>
        <w:jc w:val="center"/>
        <w:rPr>
          <w:bCs/>
          <w:sz w:val="24"/>
          <w:szCs w:val="28"/>
        </w:rPr>
      </w:pPr>
      <w:r w:rsidRPr="005823E1">
        <w:rPr>
          <w:bCs/>
          <w:sz w:val="24"/>
          <w:szCs w:val="28"/>
        </w:rPr>
        <w:t xml:space="preserve">Рис. </w:t>
      </w:r>
      <w:r w:rsidR="008C3A07">
        <w:rPr>
          <w:bCs/>
          <w:sz w:val="24"/>
          <w:szCs w:val="28"/>
        </w:rPr>
        <w:t>7</w:t>
      </w:r>
      <w:r w:rsidRPr="005823E1">
        <w:rPr>
          <w:bCs/>
          <w:sz w:val="24"/>
          <w:szCs w:val="28"/>
        </w:rPr>
        <w:t>. Среднемесячная заработная плата, руб.</w:t>
      </w:r>
    </w:p>
    <w:p w:rsidR="00D60417" w:rsidRPr="005823E1" w:rsidRDefault="008C3A07" w:rsidP="00D60417">
      <w:pPr>
        <w:pStyle w:val="ac"/>
        <w:jc w:val="center"/>
        <w:rPr>
          <w:bCs/>
          <w:szCs w:val="28"/>
        </w:rPr>
      </w:pPr>
      <w:r w:rsidRPr="00252DE7">
        <w:rPr>
          <w:noProof/>
        </w:rPr>
        <w:drawing>
          <wp:inline distT="0" distB="0" distL="0" distR="0" wp14:anchorId="0B6B3964" wp14:editId="2B855E5D">
            <wp:extent cx="6067425" cy="2743200"/>
            <wp:effectExtent l="0" t="0" r="9525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06A81" w:rsidRDefault="00D60417" w:rsidP="008C3A07">
      <w:pPr>
        <w:jc w:val="both"/>
        <w:rPr>
          <w:sz w:val="28"/>
          <w:szCs w:val="28"/>
        </w:rPr>
      </w:pPr>
      <w:r w:rsidRPr="005823E1">
        <w:rPr>
          <w:sz w:val="28"/>
          <w:szCs w:val="28"/>
        </w:rPr>
        <w:tab/>
      </w:r>
    </w:p>
    <w:p w:rsidR="00170156" w:rsidRDefault="00176A98" w:rsidP="00B06A81">
      <w:pPr>
        <w:pStyle w:val="ac"/>
        <w:ind w:firstLine="709"/>
        <w:jc w:val="both"/>
        <w:rPr>
          <w:szCs w:val="28"/>
        </w:rPr>
      </w:pPr>
      <w:r w:rsidRPr="00F60480">
        <w:rPr>
          <w:b/>
          <w:szCs w:val="28"/>
        </w:rPr>
        <w:t xml:space="preserve">Развитие социальной сферы. </w:t>
      </w:r>
      <w:r w:rsidRPr="00F60480">
        <w:rPr>
          <w:szCs w:val="28"/>
        </w:rPr>
        <w:t>В 20</w:t>
      </w:r>
      <w:r w:rsidR="0079406F" w:rsidRPr="00F60480">
        <w:rPr>
          <w:szCs w:val="28"/>
        </w:rPr>
        <w:t>2</w:t>
      </w:r>
      <w:r w:rsidR="00B06A81">
        <w:rPr>
          <w:szCs w:val="28"/>
        </w:rPr>
        <w:t>3</w:t>
      </w:r>
      <w:r w:rsidRPr="00F60480">
        <w:rPr>
          <w:szCs w:val="28"/>
        </w:rPr>
        <w:t xml:space="preserve"> году численность детей в дошкольных </w:t>
      </w:r>
      <w:r w:rsidRPr="00B06A81">
        <w:rPr>
          <w:bCs/>
          <w:szCs w:val="28"/>
        </w:rPr>
        <w:t>образовательных</w:t>
      </w:r>
      <w:r w:rsidRPr="00F60480">
        <w:rPr>
          <w:szCs w:val="28"/>
        </w:rPr>
        <w:t xml:space="preserve"> учреждениях составила </w:t>
      </w:r>
      <w:r w:rsidR="00663B42">
        <w:rPr>
          <w:szCs w:val="28"/>
        </w:rPr>
        <w:t>5</w:t>
      </w:r>
      <w:r w:rsidR="00B06A81">
        <w:rPr>
          <w:szCs w:val="28"/>
        </w:rPr>
        <w:t>012</w:t>
      </w:r>
      <w:r w:rsidRPr="00F60480">
        <w:rPr>
          <w:szCs w:val="28"/>
        </w:rPr>
        <w:t xml:space="preserve"> человек. В 202</w:t>
      </w:r>
      <w:r w:rsidR="00B06A81">
        <w:rPr>
          <w:szCs w:val="28"/>
        </w:rPr>
        <w:t>4</w:t>
      </w:r>
      <w:r w:rsidRPr="00F60480">
        <w:rPr>
          <w:szCs w:val="28"/>
        </w:rPr>
        <w:t xml:space="preserve"> году планируется </w:t>
      </w:r>
      <w:r w:rsidR="0079406F" w:rsidRPr="00F60480">
        <w:rPr>
          <w:szCs w:val="28"/>
        </w:rPr>
        <w:t>снижение</w:t>
      </w:r>
      <w:r w:rsidRPr="00F60480">
        <w:rPr>
          <w:szCs w:val="28"/>
        </w:rPr>
        <w:t xml:space="preserve"> численности детей до </w:t>
      </w:r>
      <w:r w:rsidR="00B06A81">
        <w:rPr>
          <w:szCs w:val="28"/>
        </w:rPr>
        <w:t>4850</w:t>
      </w:r>
      <w:r w:rsidRPr="00F60480">
        <w:rPr>
          <w:szCs w:val="28"/>
        </w:rPr>
        <w:t xml:space="preserve"> человек. В период 202</w:t>
      </w:r>
      <w:r w:rsidR="00B06A81">
        <w:rPr>
          <w:szCs w:val="28"/>
        </w:rPr>
        <w:t>5</w:t>
      </w:r>
      <w:r w:rsidRPr="00F60480">
        <w:rPr>
          <w:szCs w:val="28"/>
        </w:rPr>
        <w:t>-202</w:t>
      </w:r>
      <w:r w:rsidR="00B06A81">
        <w:rPr>
          <w:szCs w:val="28"/>
        </w:rPr>
        <w:t>7</w:t>
      </w:r>
      <w:r w:rsidRPr="00F60480">
        <w:rPr>
          <w:szCs w:val="28"/>
        </w:rPr>
        <w:t xml:space="preserve"> годов планируется </w:t>
      </w:r>
      <w:r w:rsidR="00B06A81">
        <w:rPr>
          <w:szCs w:val="28"/>
        </w:rPr>
        <w:t xml:space="preserve">сохранение </w:t>
      </w:r>
      <w:r w:rsidRPr="00F60480">
        <w:rPr>
          <w:szCs w:val="28"/>
        </w:rPr>
        <w:t xml:space="preserve">численности детей в дошкольных образовательных учреждениях </w:t>
      </w:r>
      <w:r w:rsidR="00B06A81">
        <w:rPr>
          <w:szCs w:val="28"/>
        </w:rPr>
        <w:t>на уровне 2024 года</w:t>
      </w:r>
      <w:r w:rsidRPr="00F60480">
        <w:rPr>
          <w:szCs w:val="28"/>
        </w:rPr>
        <w:t>. Численность учащихся в общеобразовательных учреждениях в 20</w:t>
      </w:r>
      <w:r w:rsidR="0079406F" w:rsidRPr="00F60480">
        <w:rPr>
          <w:szCs w:val="28"/>
        </w:rPr>
        <w:t>2</w:t>
      </w:r>
      <w:r w:rsidR="00B06A81">
        <w:rPr>
          <w:szCs w:val="28"/>
        </w:rPr>
        <w:t>3</w:t>
      </w:r>
      <w:r w:rsidRPr="00F60480">
        <w:rPr>
          <w:szCs w:val="28"/>
        </w:rPr>
        <w:t xml:space="preserve"> году составила 1</w:t>
      </w:r>
      <w:r w:rsidR="00CD1938">
        <w:rPr>
          <w:szCs w:val="28"/>
        </w:rPr>
        <w:t>4</w:t>
      </w:r>
      <w:r w:rsidR="00B06A81">
        <w:rPr>
          <w:szCs w:val="28"/>
        </w:rPr>
        <w:t>248</w:t>
      </w:r>
      <w:r w:rsidRPr="00F60480">
        <w:rPr>
          <w:szCs w:val="28"/>
        </w:rPr>
        <w:t xml:space="preserve"> человек. В 202</w:t>
      </w:r>
      <w:r w:rsidR="00B06A81">
        <w:rPr>
          <w:szCs w:val="28"/>
        </w:rPr>
        <w:t>4</w:t>
      </w:r>
      <w:r w:rsidRPr="00F60480">
        <w:rPr>
          <w:szCs w:val="28"/>
        </w:rPr>
        <w:t xml:space="preserve"> году планируется увеличение численности до 1</w:t>
      </w:r>
      <w:r w:rsidR="00663B42">
        <w:rPr>
          <w:szCs w:val="28"/>
        </w:rPr>
        <w:t>4</w:t>
      </w:r>
      <w:r w:rsidR="00CD1938">
        <w:rPr>
          <w:szCs w:val="28"/>
        </w:rPr>
        <w:t>4</w:t>
      </w:r>
      <w:r w:rsidR="00B06A81">
        <w:rPr>
          <w:szCs w:val="28"/>
        </w:rPr>
        <w:t>30</w:t>
      </w:r>
      <w:r w:rsidRPr="00F60480">
        <w:rPr>
          <w:szCs w:val="28"/>
        </w:rPr>
        <w:t xml:space="preserve"> человек, а в прогнозный период – </w:t>
      </w:r>
      <w:r w:rsidR="00CD1938">
        <w:rPr>
          <w:szCs w:val="28"/>
        </w:rPr>
        <w:t xml:space="preserve">ее сохранение примерно на том же уровне – </w:t>
      </w:r>
      <w:r w:rsidRPr="00F60480">
        <w:rPr>
          <w:szCs w:val="28"/>
        </w:rPr>
        <w:t>около 1</w:t>
      </w:r>
      <w:r w:rsidR="00663B42">
        <w:rPr>
          <w:szCs w:val="28"/>
        </w:rPr>
        <w:t>4</w:t>
      </w:r>
      <w:r w:rsidR="00CD1938">
        <w:rPr>
          <w:szCs w:val="28"/>
        </w:rPr>
        <w:t>,4 тысяч</w:t>
      </w:r>
      <w:r w:rsidRPr="00F60480">
        <w:rPr>
          <w:szCs w:val="28"/>
        </w:rPr>
        <w:t xml:space="preserve"> человек.</w:t>
      </w:r>
    </w:p>
    <w:p w:rsidR="005A2EC0" w:rsidRDefault="005A2EC0" w:rsidP="005A2E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EC0" w:rsidRDefault="005A2EC0" w:rsidP="005A2E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EC0" w:rsidRDefault="005A2EC0" w:rsidP="005A2EC0">
      <w:pPr>
        <w:pStyle w:val="ConsNormal"/>
        <w:widowControl/>
        <w:tabs>
          <w:tab w:val="left" w:pos="2618"/>
        </w:tabs>
        <w:spacing w:line="360" w:lineRule="atLeast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экономического управления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ab/>
        <w:t xml:space="preserve">         Н.Н. Панфилов</w:t>
      </w:r>
    </w:p>
    <w:p w:rsidR="005A2EC0" w:rsidRPr="005A2EC0" w:rsidRDefault="005A2EC0" w:rsidP="005A2E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2EC0" w:rsidRPr="005A2EC0" w:rsidSect="00FA36B9">
      <w:footerReference w:type="even" r:id="rId16"/>
      <w:footerReference w:type="default" r:id="rId17"/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865" w:rsidRDefault="00B82865" w:rsidP="00ED665A">
      <w:pPr>
        <w:spacing w:after="0" w:line="240" w:lineRule="auto"/>
      </w:pPr>
      <w:r>
        <w:separator/>
      </w:r>
    </w:p>
  </w:endnote>
  <w:endnote w:type="continuationSeparator" w:id="0">
    <w:p w:rsidR="00B82865" w:rsidRDefault="00B82865" w:rsidP="00ED6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E1E" w:rsidRDefault="00073E1E" w:rsidP="0064392D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3</w:t>
    </w:r>
    <w:r>
      <w:rPr>
        <w:rStyle w:val="af0"/>
      </w:rPr>
      <w:fldChar w:fldCharType="end"/>
    </w:r>
  </w:p>
  <w:p w:rsidR="00073E1E" w:rsidRDefault="00073E1E" w:rsidP="0064392D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E1E" w:rsidRDefault="00073E1E" w:rsidP="0064392D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865" w:rsidRDefault="00B82865" w:rsidP="00ED665A">
      <w:pPr>
        <w:spacing w:after="0" w:line="240" w:lineRule="auto"/>
      </w:pPr>
      <w:r>
        <w:separator/>
      </w:r>
    </w:p>
  </w:footnote>
  <w:footnote w:type="continuationSeparator" w:id="0">
    <w:p w:rsidR="00B82865" w:rsidRDefault="00B82865" w:rsidP="00ED6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6101542"/>
      <w:docPartObj>
        <w:docPartGallery w:val="Page Numbers (Top of Page)"/>
        <w:docPartUnique/>
      </w:docPartObj>
    </w:sdtPr>
    <w:sdtContent>
      <w:p w:rsidR="00073E1E" w:rsidRDefault="00073E1E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6A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3E1E" w:rsidRDefault="00073E1E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81E20"/>
    <w:multiLevelType w:val="multilevel"/>
    <w:tmpl w:val="7A06CDB8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14A53A70"/>
    <w:multiLevelType w:val="multilevel"/>
    <w:tmpl w:val="27728CE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2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92" w:hanging="2160"/>
      </w:pPr>
      <w:rPr>
        <w:rFonts w:hint="default"/>
      </w:rPr>
    </w:lvl>
  </w:abstractNum>
  <w:abstractNum w:abstractNumId="2">
    <w:nsid w:val="169E6241"/>
    <w:multiLevelType w:val="multilevel"/>
    <w:tmpl w:val="888E369C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3">
    <w:nsid w:val="198C40B2"/>
    <w:multiLevelType w:val="multilevel"/>
    <w:tmpl w:val="43E03F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0503C0A"/>
    <w:multiLevelType w:val="hybridMultilevel"/>
    <w:tmpl w:val="DA3A644E"/>
    <w:lvl w:ilvl="0" w:tplc="350EB16E">
      <w:start w:val="1"/>
      <w:numFmt w:val="decimal"/>
      <w:lvlText w:val="%1."/>
      <w:lvlJc w:val="left"/>
      <w:pPr>
        <w:ind w:left="1737" w:hanging="1170"/>
      </w:pPr>
      <w:rPr>
        <w:rFonts w:hint="default"/>
      </w:rPr>
    </w:lvl>
    <w:lvl w:ilvl="1" w:tplc="2542B718">
      <w:start w:val="1"/>
      <w:numFmt w:val="russianLower"/>
      <w:lvlText w:val="%2)"/>
      <w:lvlJc w:val="left"/>
      <w:pPr>
        <w:ind w:left="1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1472257"/>
    <w:multiLevelType w:val="hybridMultilevel"/>
    <w:tmpl w:val="B1A0C950"/>
    <w:lvl w:ilvl="0" w:tplc="1E1C766C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54269"/>
    <w:multiLevelType w:val="multilevel"/>
    <w:tmpl w:val="13783E28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3D0C29D1"/>
    <w:multiLevelType w:val="hybridMultilevel"/>
    <w:tmpl w:val="1C4CEB16"/>
    <w:lvl w:ilvl="0" w:tplc="6A6E6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05366B"/>
    <w:multiLevelType w:val="multilevel"/>
    <w:tmpl w:val="27984EC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2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26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92" w:hanging="2160"/>
      </w:pPr>
      <w:rPr>
        <w:rFonts w:hint="default"/>
      </w:rPr>
    </w:lvl>
  </w:abstractNum>
  <w:abstractNum w:abstractNumId="9">
    <w:nsid w:val="61BE07B4"/>
    <w:multiLevelType w:val="multilevel"/>
    <w:tmpl w:val="69C4F232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E35"/>
    <w:rsid w:val="00021C54"/>
    <w:rsid w:val="00033D67"/>
    <w:rsid w:val="00044295"/>
    <w:rsid w:val="00073E1E"/>
    <w:rsid w:val="000D1755"/>
    <w:rsid w:val="000E3594"/>
    <w:rsid w:val="000E6B47"/>
    <w:rsid w:val="00100807"/>
    <w:rsid w:val="001131B2"/>
    <w:rsid w:val="001507AB"/>
    <w:rsid w:val="001647B0"/>
    <w:rsid w:val="00170156"/>
    <w:rsid w:val="00176A98"/>
    <w:rsid w:val="00183239"/>
    <w:rsid w:val="00193822"/>
    <w:rsid w:val="001A5771"/>
    <w:rsid w:val="001C0899"/>
    <w:rsid w:val="001C1DF3"/>
    <w:rsid w:val="002040BC"/>
    <w:rsid w:val="00222D61"/>
    <w:rsid w:val="00246CE6"/>
    <w:rsid w:val="00255530"/>
    <w:rsid w:val="00255E7A"/>
    <w:rsid w:val="00282C3B"/>
    <w:rsid w:val="00283032"/>
    <w:rsid w:val="002B48D3"/>
    <w:rsid w:val="002C141E"/>
    <w:rsid w:val="002D7987"/>
    <w:rsid w:val="002F309F"/>
    <w:rsid w:val="00313185"/>
    <w:rsid w:val="00323CF6"/>
    <w:rsid w:val="00361BA2"/>
    <w:rsid w:val="00377973"/>
    <w:rsid w:val="0038498F"/>
    <w:rsid w:val="003A32B4"/>
    <w:rsid w:val="003C455E"/>
    <w:rsid w:val="003E22C4"/>
    <w:rsid w:val="003F3F44"/>
    <w:rsid w:val="003F3FFE"/>
    <w:rsid w:val="0040117D"/>
    <w:rsid w:val="0040275C"/>
    <w:rsid w:val="0040355F"/>
    <w:rsid w:val="00412494"/>
    <w:rsid w:val="00444589"/>
    <w:rsid w:val="004446FC"/>
    <w:rsid w:val="00447CC7"/>
    <w:rsid w:val="00450028"/>
    <w:rsid w:val="00465BEC"/>
    <w:rsid w:val="00472859"/>
    <w:rsid w:val="00481EB4"/>
    <w:rsid w:val="004848F6"/>
    <w:rsid w:val="00485ECC"/>
    <w:rsid w:val="00491528"/>
    <w:rsid w:val="004928D2"/>
    <w:rsid w:val="004F498D"/>
    <w:rsid w:val="00500A1C"/>
    <w:rsid w:val="00542E54"/>
    <w:rsid w:val="00573135"/>
    <w:rsid w:val="005825AA"/>
    <w:rsid w:val="0059551E"/>
    <w:rsid w:val="005A2EC0"/>
    <w:rsid w:val="005D4F27"/>
    <w:rsid w:val="005D51CE"/>
    <w:rsid w:val="005E6D0D"/>
    <w:rsid w:val="005F4C4A"/>
    <w:rsid w:val="0060325A"/>
    <w:rsid w:val="0063115A"/>
    <w:rsid w:val="006408B8"/>
    <w:rsid w:val="0064392D"/>
    <w:rsid w:val="00657ED6"/>
    <w:rsid w:val="00663B42"/>
    <w:rsid w:val="00664AF3"/>
    <w:rsid w:val="00684A2C"/>
    <w:rsid w:val="006A1935"/>
    <w:rsid w:val="006B38BE"/>
    <w:rsid w:val="006B599D"/>
    <w:rsid w:val="006F5EDC"/>
    <w:rsid w:val="007123B9"/>
    <w:rsid w:val="0072663C"/>
    <w:rsid w:val="007456FE"/>
    <w:rsid w:val="00762AA8"/>
    <w:rsid w:val="00771159"/>
    <w:rsid w:val="0079406F"/>
    <w:rsid w:val="007A7307"/>
    <w:rsid w:val="007C1916"/>
    <w:rsid w:val="007D390B"/>
    <w:rsid w:val="007D49B2"/>
    <w:rsid w:val="007E4446"/>
    <w:rsid w:val="007E7386"/>
    <w:rsid w:val="007E79DC"/>
    <w:rsid w:val="00806FC0"/>
    <w:rsid w:val="00811688"/>
    <w:rsid w:val="00815289"/>
    <w:rsid w:val="00816186"/>
    <w:rsid w:val="0083176F"/>
    <w:rsid w:val="00860E35"/>
    <w:rsid w:val="00885833"/>
    <w:rsid w:val="00886CD4"/>
    <w:rsid w:val="008876B9"/>
    <w:rsid w:val="00890EDE"/>
    <w:rsid w:val="00893DA9"/>
    <w:rsid w:val="008A17B5"/>
    <w:rsid w:val="008A3432"/>
    <w:rsid w:val="008C3A07"/>
    <w:rsid w:val="008D74AD"/>
    <w:rsid w:val="008F6AB2"/>
    <w:rsid w:val="00902504"/>
    <w:rsid w:val="00940116"/>
    <w:rsid w:val="00945AC7"/>
    <w:rsid w:val="00955C0E"/>
    <w:rsid w:val="0098271C"/>
    <w:rsid w:val="00985981"/>
    <w:rsid w:val="009A62E4"/>
    <w:rsid w:val="009E204E"/>
    <w:rsid w:val="009E4D20"/>
    <w:rsid w:val="009E5048"/>
    <w:rsid w:val="009F0FF5"/>
    <w:rsid w:val="00A0158A"/>
    <w:rsid w:val="00A120FE"/>
    <w:rsid w:val="00A128E0"/>
    <w:rsid w:val="00A16C2F"/>
    <w:rsid w:val="00A22996"/>
    <w:rsid w:val="00A3513E"/>
    <w:rsid w:val="00A35B28"/>
    <w:rsid w:val="00A7012A"/>
    <w:rsid w:val="00A803AC"/>
    <w:rsid w:val="00AA211B"/>
    <w:rsid w:val="00AA48AA"/>
    <w:rsid w:val="00AA749B"/>
    <w:rsid w:val="00AD51C4"/>
    <w:rsid w:val="00AF09A7"/>
    <w:rsid w:val="00AF1E03"/>
    <w:rsid w:val="00B00115"/>
    <w:rsid w:val="00B06A81"/>
    <w:rsid w:val="00B25067"/>
    <w:rsid w:val="00B31FF5"/>
    <w:rsid w:val="00B33CBE"/>
    <w:rsid w:val="00B415C0"/>
    <w:rsid w:val="00B53441"/>
    <w:rsid w:val="00B76890"/>
    <w:rsid w:val="00B80200"/>
    <w:rsid w:val="00B82865"/>
    <w:rsid w:val="00B8324B"/>
    <w:rsid w:val="00B918CD"/>
    <w:rsid w:val="00BA70A9"/>
    <w:rsid w:val="00BB3766"/>
    <w:rsid w:val="00BC3487"/>
    <w:rsid w:val="00BD498F"/>
    <w:rsid w:val="00C10BDB"/>
    <w:rsid w:val="00C2613E"/>
    <w:rsid w:val="00C3240F"/>
    <w:rsid w:val="00C50D05"/>
    <w:rsid w:val="00C53B67"/>
    <w:rsid w:val="00C56FDE"/>
    <w:rsid w:val="00C700FD"/>
    <w:rsid w:val="00C827C6"/>
    <w:rsid w:val="00C9553D"/>
    <w:rsid w:val="00C97651"/>
    <w:rsid w:val="00CB3185"/>
    <w:rsid w:val="00CC0D91"/>
    <w:rsid w:val="00CC3009"/>
    <w:rsid w:val="00CC7475"/>
    <w:rsid w:val="00CD1938"/>
    <w:rsid w:val="00CD235D"/>
    <w:rsid w:val="00D14A5C"/>
    <w:rsid w:val="00D17478"/>
    <w:rsid w:val="00D53E5C"/>
    <w:rsid w:val="00D55663"/>
    <w:rsid w:val="00D60417"/>
    <w:rsid w:val="00D70AA3"/>
    <w:rsid w:val="00D91695"/>
    <w:rsid w:val="00D9738E"/>
    <w:rsid w:val="00D97453"/>
    <w:rsid w:val="00DA193E"/>
    <w:rsid w:val="00DD39FC"/>
    <w:rsid w:val="00DD3DBF"/>
    <w:rsid w:val="00DD5ED4"/>
    <w:rsid w:val="00DF5F0A"/>
    <w:rsid w:val="00DF7C8B"/>
    <w:rsid w:val="00E30A54"/>
    <w:rsid w:val="00E40CBC"/>
    <w:rsid w:val="00E54E8E"/>
    <w:rsid w:val="00E5566A"/>
    <w:rsid w:val="00E74C5C"/>
    <w:rsid w:val="00EA4D6E"/>
    <w:rsid w:val="00EC630C"/>
    <w:rsid w:val="00ED665A"/>
    <w:rsid w:val="00EE3B63"/>
    <w:rsid w:val="00EF283F"/>
    <w:rsid w:val="00EF7589"/>
    <w:rsid w:val="00F0122B"/>
    <w:rsid w:val="00F03DA0"/>
    <w:rsid w:val="00F0432C"/>
    <w:rsid w:val="00F11E85"/>
    <w:rsid w:val="00F2317A"/>
    <w:rsid w:val="00F51CF2"/>
    <w:rsid w:val="00F52CBE"/>
    <w:rsid w:val="00F53F71"/>
    <w:rsid w:val="00F60480"/>
    <w:rsid w:val="00F65EB6"/>
    <w:rsid w:val="00F67546"/>
    <w:rsid w:val="00F7316C"/>
    <w:rsid w:val="00FA054E"/>
    <w:rsid w:val="00FA36B9"/>
    <w:rsid w:val="00FC43CF"/>
    <w:rsid w:val="00FD0F2B"/>
    <w:rsid w:val="00FD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B7F44-7159-46B0-81C5-81007EBA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E35"/>
    <w:pPr>
      <w:ind w:left="720"/>
      <w:contextualSpacing/>
    </w:pPr>
  </w:style>
  <w:style w:type="table" w:styleId="a4">
    <w:name w:val="Table Grid"/>
    <w:basedOn w:val="a1"/>
    <w:rsid w:val="006A1935"/>
    <w:pPr>
      <w:widowControl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A19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886CD4"/>
  </w:style>
  <w:style w:type="character" w:styleId="a5">
    <w:name w:val="annotation reference"/>
    <w:basedOn w:val="a0"/>
    <w:uiPriority w:val="99"/>
    <w:semiHidden/>
    <w:unhideWhenUsed/>
    <w:rsid w:val="009A62E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A62E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A62E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A62E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A62E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A6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62E4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3C45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rsid w:val="003C45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rsid w:val="001701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1701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170156"/>
  </w:style>
  <w:style w:type="paragraph" w:styleId="af1">
    <w:name w:val="header"/>
    <w:basedOn w:val="a"/>
    <w:link w:val="af2"/>
    <w:uiPriority w:val="99"/>
    <w:unhideWhenUsed/>
    <w:rsid w:val="00AF1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AF1E03"/>
  </w:style>
  <w:style w:type="paragraph" w:customStyle="1" w:styleId="ConsNormal">
    <w:name w:val="ConsNormal"/>
    <w:rsid w:val="005A2EC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\&#1055;&#1088;&#1086;&#1075;&#1085;&#1086;&#1079;&#1099;\&#1055;&#1088;&#1086;&#1075;&#1085;&#1086;&#1079;%202025\&#1055;&#1088;&#1086;&#1075;&#1085;&#1086;&#1079;_&#1076;&#1086;%202027_&#1087;&#1086;&#1083;&#1085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\&#1055;&#1088;&#1086;&#1075;&#1085;&#1086;&#1079;&#1099;\&#1055;&#1088;&#1086;&#1075;&#1085;&#1086;&#1079;%202025\&#1055;&#1088;&#1086;&#1075;&#1085;&#1086;&#1079;_&#1076;&#1086;%202027_&#1087;&#1086;&#1083;&#1085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cuments\&#1055;&#1088;&#1086;&#1075;&#1085;&#1086;&#1079;&#1099;\&#1055;&#1088;&#1086;&#1075;&#1085;&#1086;&#1079;%202025\&#1055;&#1088;&#1086;&#1075;&#1085;&#1086;&#1079;_&#1076;&#1086;%202027_&#1087;&#1086;&#1083;&#1085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cuments\&#1055;&#1088;&#1086;&#1075;&#1085;&#1086;&#1079;&#1099;\&#1055;&#1088;&#1086;&#1075;&#1085;&#1086;&#1079;%202025\&#1055;&#1088;&#1080;&#1083;.2%20&#1060;&#1086;&#1088;&#1084;&#1072;%20&#1082;%20&#1089;&#1086;&#1075;&#1083;2&#1055;%20&#1052;&#1054;_&#1057;&#1086;&#1075;&#1083;&#1072;&#1089;&#1086;&#1074;&#1072;&#1085;&#1080;&#1077;&#1044;&#1086;2026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cuments\&#1055;&#1088;&#1086;&#1075;&#1085;&#1086;&#1079;&#1099;\&#1055;&#1088;&#1086;&#1075;&#1085;&#1086;&#1079;%202025\&#1055;&#1088;&#1080;&#1083;.2%20&#1060;&#1086;&#1088;&#1084;&#1072;%20&#1082;%20&#1089;&#1086;&#1075;&#1083;2&#1055;%20&#1052;&#1054;_&#1057;&#1086;&#1075;&#1083;&#1072;&#1089;&#1086;&#1074;&#1072;&#1085;&#1080;&#1077;&#1044;&#1086;2026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cuments\&#1055;&#1088;&#1086;&#1075;&#1085;&#1086;&#1079;&#1099;\&#1055;&#1088;&#1086;&#1075;&#1085;&#1086;&#1079;%202025\&#1055;&#1088;&#1080;&#1083;.2%20&#1060;&#1086;&#1088;&#1084;&#1072;%20&#1082;%20&#1089;&#1086;&#1075;&#1083;2&#1055;%20&#1052;&#1054;_&#1057;&#1086;&#1075;&#1083;&#1072;&#1089;&#1086;&#1074;&#1072;&#1085;&#1080;&#1077;&#1044;&#1086;2026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cuments\&#1055;&#1088;&#1086;&#1075;&#1085;&#1086;&#1079;&#1099;\&#1055;&#1088;&#1086;&#1075;&#1085;&#1086;&#1079;%202025\&#1055;&#1088;&#1080;&#1083;.2%20&#1060;&#1086;&#1088;&#1084;&#1072;%20&#1082;%20&#1089;&#1086;&#1075;&#1083;2&#1055;%20&#1052;&#1054;_&#1057;&#1086;&#1075;&#1083;&#1072;&#1089;&#1086;&#1074;&#1072;&#1085;&#1080;&#1077;&#1044;&#1086;2026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Лист1!$A$8</c:f>
              <c:strCache>
                <c:ptCount val="1"/>
                <c:pt idx="0">
                  <c:v>Численность постоянного населения (среднегодовая) </c:v>
                </c:pt>
              </c:strCache>
            </c:strRef>
          </c:tx>
          <c:invertIfNegative val="0"/>
          <c:cat>
            <c:strRef>
              <c:f>Лист1!$C$5:$H$6</c:f>
              <c:strCache>
                <c:ptCount val="6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</c:strCache>
            </c:strRef>
          </c:cat>
          <c:val>
            <c:numRef>
              <c:f>Лист1!$C$8:$H$8</c:f>
              <c:numCache>
                <c:formatCode>#,##0.00</c:formatCode>
                <c:ptCount val="6"/>
                <c:pt idx="0">
                  <c:v>131.34</c:v>
                </c:pt>
                <c:pt idx="1">
                  <c:v>130.15600000000001</c:v>
                </c:pt>
                <c:pt idx="2">
                  <c:v>129.4</c:v>
                </c:pt>
                <c:pt idx="3">
                  <c:v>128.4</c:v>
                </c:pt>
                <c:pt idx="4">
                  <c:v>127.4</c:v>
                </c:pt>
                <c:pt idx="5">
                  <c:v>126.5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D0F-4930-B6F2-15DB52CA3B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axId val="878128880"/>
        <c:axId val="878133192"/>
      </c:barChart>
      <c:catAx>
        <c:axId val="8781288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78133192"/>
        <c:crosses val="autoZero"/>
        <c:auto val="1"/>
        <c:lblAlgn val="ctr"/>
        <c:lblOffset val="100"/>
        <c:noMultiLvlLbl val="0"/>
      </c:catAx>
      <c:valAx>
        <c:axId val="878133192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8781288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Лист1!$A$14</c:f>
              <c:strCache>
                <c:ptCount val="1"/>
                <c:pt idx="0">
                  <c:v>Общий коэффициент рождаемости</c:v>
                </c:pt>
              </c:strCache>
            </c:strRef>
          </c:tx>
          <c:cat>
            <c:strRef>
              <c:f>Лист1!$I$3:$N$4</c:f>
              <c:strCache>
                <c:ptCount val="6"/>
                <c:pt idx="0">
                  <c:v>2022 факт</c:v>
                </c:pt>
                <c:pt idx="1">
                  <c:v>2023 факт</c:v>
                </c:pt>
                <c:pt idx="2">
                  <c:v>2024 оценка</c:v>
                </c:pt>
                <c:pt idx="3">
                  <c:v>2025 прогноз</c:v>
                </c:pt>
                <c:pt idx="4">
                  <c:v>2026 прогноз</c:v>
                </c:pt>
                <c:pt idx="5">
                  <c:v>2027 прогноз</c:v>
                </c:pt>
              </c:strCache>
            </c:strRef>
          </c:cat>
          <c:val>
            <c:numRef>
              <c:f>Лист1!$C$14:$H$14</c:f>
              <c:numCache>
                <c:formatCode>#,##0.00</c:formatCode>
                <c:ptCount val="6"/>
                <c:pt idx="0">
                  <c:v>6.2</c:v>
                </c:pt>
                <c:pt idx="1">
                  <c:v>6.5690402286486984</c:v>
                </c:pt>
                <c:pt idx="2">
                  <c:v>6.638330757341576</c:v>
                </c:pt>
                <c:pt idx="3">
                  <c:v>6.8146417445482861</c:v>
                </c:pt>
                <c:pt idx="4">
                  <c:v>7.0800627943485086</c:v>
                </c:pt>
                <c:pt idx="5">
                  <c:v>7.4940711462450595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ABF8-4B71-99A1-8C9620CD20FC}"/>
            </c:ext>
          </c:extLst>
        </c:ser>
        <c:ser>
          <c:idx val="1"/>
          <c:order val="1"/>
          <c:tx>
            <c:strRef>
              <c:f>Лист1!$A$15</c:f>
              <c:strCache>
                <c:ptCount val="1"/>
                <c:pt idx="0">
                  <c:v>Общий коэффициент смертности</c:v>
                </c:pt>
              </c:strCache>
            </c:strRef>
          </c:tx>
          <c:cat>
            <c:strRef>
              <c:f>Лист1!$I$3:$N$4</c:f>
              <c:strCache>
                <c:ptCount val="6"/>
                <c:pt idx="0">
                  <c:v>2022 факт</c:v>
                </c:pt>
                <c:pt idx="1">
                  <c:v>2023 факт</c:v>
                </c:pt>
                <c:pt idx="2">
                  <c:v>2024 оценка</c:v>
                </c:pt>
                <c:pt idx="3">
                  <c:v>2025 прогноз</c:v>
                </c:pt>
                <c:pt idx="4">
                  <c:v>2026 прогноз</c:v>
                </c:pt>
                <c:pt idx="5">
                  <c:v>2027 прогноз</c:v>
                </c:pt>
              </c:strCache>
            </c:strRef>
          </c:cat>
          <c:val>
            <c:numRef>
              <c:f>Лист1!$C$15:$H$15</c:f>
              <c:numCache>
                <c:formatCode>#,##0.00</c:formatCode>
                <c:ptCount val="6"/>
                <c:pt idx="0">
                  <c:v>18.399999999999999</c:v>
                </c:pt>
                <c:pt idx="1">
                  <c:v>17.309997234088325</c:v>
                </c:pt>
                <c:pt idx="2">
                  <c:v>17.140649149922719</c:v>
                </c:pt>
                <c:pt idx="3">
                  <c:v>16.970404984423674</c:v>
                </c:pt>
                <c:pt idx="4">
                  <c:v>16.907378335949765</c:v>
                </c:pt>
                <c:pt idx="5">
                  <c:v>16.766798418972332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ABF8-4B71-99A1-8C9620CD20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78133584"/>
        <c:axId val="878129272"/>
      </c:lineChart>
      <c:catAx>
        <c:axId val="8781335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78129272"/>
        <c:crosses val="autoZero"/>
        <c:auto val="1"/>
        <c:lblAlgn val="ctr"/>
        <c:lblOffset val="100"/>
        <c:noMultiLvlLbl val="0"/>
      </c:catAx>
      <c:valAx>
        <c:axId val="878129272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87813358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90977149915084199"/>
          <c:w val="1"/>
          <c:h val="6.6372394627142284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Лист1!$I$3:$N$4</c:f>
              <c:strCache>
                <c:ptCount val="6"/>
                <c:pt idx="0">
                  <c:v>2022 факт</c:v>
                </c:pt>
                <c:pt idx="1">
                  <c:v>2023 факт</c:v>
                </c:pt>
                <c:pt idx="2">
                  <c:v>2024 оценка</c:v>
                </c:pt>
                <c:pt idx="3">
                  <c:v>2025 прогноз</c:v>
                </c:pt>
                <c:pt idx="4">
                  <c:v>2026 прогноз</c:v>
                </c:pt>
                <c:pt idx="5">
                  <c:v>2027 прогноз</c:v>
                </c:pt>
              </c:strCache>
            </c:strRef>
          </c:cat>
          <c:val>
            <c:numRef>
              <c:f>Лист1!$C$18:$H$18</c:f>
              <c:numCache>
                <c:formatCode>#,##0.00</c:formatCode>
                <c:ptCount val="6"/>
                <c:pt idx="0">
                  <c:v>217022.14669999998</c:v>
                </c:pt>
                <c:pt idx="1">
                  <c:v>190073.09</c:v>
                </c:pt>
                <c:pt idx="2">
                  <c:v>200432.073405</c:v>
                </c:pt>
                <c:pt idx="3">
                  <c:v>210253.24500184503</c:v>
                </c:pt>
                <c:pt idx="4">
                  <c:v>219083.88129192253</c:v>
                </c:pt>
                <c:pt idx="5">
                  <c:v>227628.15266230752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5"/>
        <c:overlap val="-27"/>
        <c:axId val="878122216"/>
        <c:axId val="878121824"/>
      </c:barChart>
      <c:catAx>
        <c:axId val="878122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78121824"/>
        <c:crosses val="autoZero"/>
        <c:auto val="1"/>
        <c:lblAlgn val="ctr"/>
        <c:lblOffset val="100"/>
        <c:noMultiLvlLbl val="0"/>
      </c:catAx>
      <c:valAx>
        <c:axId val="878121824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781222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Показатели!$C$5:$I$5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</c:numCache>
            </c:numRef>
          </c:cat>
          <c:val>
            <c:numRef>
              <c:f>Показатели!$C$8:$I$8</c:f>
              <c:numCache>
                <c:formatCode>0.00</c:formatCode>
                <c:ptCount val="7"/>
                <c:pt idx="0">
                  <c:v>9440.4779999999992</c:v>
                </c:pt>
                <c:pt idx="1">
                  <c:v>8950</c:v>
                </c:pt>
                <c:pt idx="2" formatCode="#,##0.00">
                  <c:v>9145.1996999999992</c:v>
                </c:pt>
                <c:pt idx="3" formatCode="#,##0.00">
                  <c:v>9605.14</c:v>
                </c:pt>
                <c:pt idx="4" formatCode="#,##0.00">
                  <c:v>10105.209999999999</c:v>
                </c:pt>
                <c:pt idx="5" formatCode="#,##0.00">
                  <c:v>10809.85</c:v>
                </c:pt>
                <c:pt idx="6" formatCode="#,##0.00">
                  <c:v>11550.105080000001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3"/>
        <c:overlap val="-27"/>
        <c:axId val="878122608"/>
        <c:axId val="878126136"/>
      </c:barChart>
      <c:catAx>
        <c:axId val="878122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78126136"/>
        <c:crosses val="autoZero"/>
        <c:auto val="1"/>
        <c:lblAlgn val="ctr"/>
        <c:lblOffset val="100"/>
        <c:noMultiLvlLbl val="0"/>
      </c:catAx>
      <c:valAx>
        <c:axId val="878126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781226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Показатели!$C$5:$I$5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</c:numCache>
            </c:numRef>
          </c:cat>
          <c:val>
            <c:numRef>
              <c:f>Показатели!$C$10:$I$10</c:f>
              <c:numCache>
                <c:formatCode>#,##0.00</c:formatCode>
                <c:ptCount val="7"/>
                <c:pt idx="0">
                  <c:v>15156.103999999999</c:v>
                </c:pt>
                <c:pt idx="1">
                  <c:v>21616.353999999999</c:v>
                </c:pt>
                <c:pt idx="2">
                  <c:v>19323.649000000001</c:v>
                </c:pt>
                <c:pt idx="3">
                  <c:v>21470.506403900003</c:v>
                </c:pt>
                <c:pt idx="4">
                  <c:v>23682.913265783471</c:v>
                </c:pt>
                <c:pt idx="5">
                  <c:v>25761.065221942703</c:v>
                </c:pt>
                <c:pt idx="6">
                  <c:v>27835.861414917967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9"/>
        <c:overlap val="-27"/>
        <c:axId val="878123000"/>
        <c:axId val="878126920"/>
      </c:barChart>
      <c:catAx>
        <c:axId val="878123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78126920"/>
        <c:crosses val="autoZero"/>
        <c:auto val="1"/>
        <c:lblAlgn val="ctr"/>
        <c:lblOffset val="100"/>
        <c:noMultiLvlLbl val="0"/>
      </c:catAx>
      <c:valAx>
        <c:axId val="878126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781230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Показатели!$C$5:$I$5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</c:numCache>
            </c:numRef>
          </c:cat>
          <c:val>
            <c:numRef>
              <c:f>Показатели!$C$17:$I$17</c:f>
              <c:numCache>
                <c:formatCode>#,##0.00</c:formatCode>
                <c:ptCount val="7"/>
                <c:pt idx="0">
                  <c:v>67038451</c:v>
                </c:pt>
                <c:pt idx="1">
                  <c:v>90713029</c:v>
                </c:pt>
                <c:pt idx="2">
                  <c:v>68156612</c:v>
                </c:pt>
                <c:pt idx="3">
                  <c:v>68910923.909999996</c:v>
                </c:pt>
                <c:pt idx="4">
                  <c:v>72431553.14850001</c:v>
                </c:pt>
                <c:pt idx="5">
                  <c:v>75135121.488881007</c:v>
                </c:pt>
                <c:pt idx="6">
                  <c:v>78532811.53769891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78127312"/>
        <c:axId val="878127704"/>
      </c:barChart>
      <c:catAx>
        <c:axId val="878127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78127704"/>
        <c:crosses val="autoZero"/>
        <c:auto val="1"/>
        <c:lblAlgn val="ctr"/>
        <c:lblOffset val="100"/>
        <c:noMultiLvlLbl val="0"/>
      </c:catAx>
      <c:valAx>
        <c:axId val="878127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781273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Показатели!$C$5:$I$5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</c:numCache>
            </c:numRef>
          </c:cat>
          <c:val>
            <c:numRef>
              <c:f>Показатели!$C$27:$I$27</c:f>
              <c:numCache>
                <c:formatCode>#,##0.00</c:formatCode>
                <c:ptCount val="7"/>
                <c:pt idx="0">
                  <c:v>47668.9</c:v>
                </c:pt>
                <c:pt idx="1">
                  <c:v>55025</c:v>
                </c:pt>
                <c:pt idx="2">
                  <c:v>65699.3</c:v>
                </c:pt>
                <c:pt idx="3">
                  <c:v>77498.70422571282</c:v>
                </c:pt>
                <c:pt idx="4">
                  <c:v>90014.56677750239</c:v>
                </c:pt>
                <c:pt idx="5">
                  <c:v>101209.73128373799</c:v>
                </c:pt>
                <c:pt idx="6">
                  <c:v>108038.5852575652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78130448"/>
        <c:axId val="878130840"/>
      </c:lineChart>
      <c:catAx>
        <c:axId val="878130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78130840"/>
        <c:crosses val="autoZero"/>
        <c:auto val="1"/>
        <c:lblAlgn val="ctr"/>
        <c:lblOffset val="100"/>
        <c:noMultiLvlLbl val="0"/>
      </c:catAx>
      <c:valAx>
        <c:axId val="878130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781304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9CF5C-2E3C-4FDA-9E0E-2C89DC3EA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12</Pages>
  <Words>2450</Words>
  <Characters>13966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ECO01</dc:creator>
  <cp:lastModifiedBy>Александр Семкин</cp:lastModifiedBy>
  <cp:revision>3</cp:revision>
  <cp:lastPrinted>2023-11-08T10:51:00Z</cp:lastPrinted>
  <dcterms:created xsi:type="dcterms:W3CDTF">2024-11-06T13:46:00Z</dcterms:created>
  <dcterms:modified xsi:type="dcterms:W3CDTF">2024-11-06T14:15:00Z</dcterms:modified>
</cp:coreProperties>
</file>