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F2266C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063B12" w:rsidRPr="00063B12">
        <w:rPr>
          <w:rFonts w:ascii="Times New Roman" w:hAnsi="Times New Roman" w:cs="Times New Roman"/>
        </w:rPr>
        <w:t>отдел землеустройства</w:t>
      </w:r>
      <w:r w:rsidR="00063B12">
        <w:t xml:space="preserve"> </w:t>
      </w:r>
      <w:r w:rsidR="004B0371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063B12">
        <w:rPr>
          <w:rFonts w:ascii="Times New Roman" w:eastAsia="Calibri" w:hAnsi="Times New Roman" w:cs="Times New Roman"/>
          <w:sz w:val="24"/>
          <w:szCs w:val="24"/>
        </w:rPr>
        <w:t>я</w:t>
      </w:r>
      <w:r w:rsidR="004B0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C01">
        <w:rPr>
          <w:rFonts w:ascii="Times New Roman" w:eastAsia="Calibri" w:hAnsi="Times New Roman" w:cs="Times New Roman"/>
          <w:sz w:val="24"/>
          <w:szCs w:val="24"/>
        </w:rPr>
        <w:t>по использованию муниципальных земель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12045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>двенадцать тысяч сорок пять</w:t>
      </w:r>
      <w:r w:rsidR="00513C7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рубля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</w:t>
      </w:r>
      <w:proofErr w:type="gramStart"/>
      <w:r w:rsidRPr="000840BB">
        <w:rPr>
          <w:rFonts w:ascii="Times New Roman" w:eastAsia="Calibri" w:hAnsi="Times New Roman" w:cs="Times New Roman"/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>
      <w:bookmarkStart w:id="0" w:name="_GoBack"/>
      <w:bookmarkEnd w:id="0"/>
    </w:p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2261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6269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6C947-E513-4B13-97A7-A8500E4E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62</cp:revision>
  <cp:lastPrinted>2017-09-07T08:31:00Z</cp:lastPrinted>
  <dcterms:created xsi:type="dcterms:W3CDTF">2018-05-07T11:27:00Z</dcterms:created>
  <dcterms:modified xsi:type="dcterms:W3CDTF">2025-01-09T14:18:00Z</dcterms:modified>
</cp:coreProperties>
</file>